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CB" w:rsidRDefault="003E7ECB" w:rsidP="003E7ECB"/>
    <w:p w:rsidR="003E7ECB" w:rsidRDefault="003E7ECB" w:rsidP="003E7ECB">
      <w:pPr>
        <w:tabs>
          <w:tab w:val="left" w:pos="0"/>
        </w:tabs>
      </w:pPr>
    </w:p>
    <w:p w:rsidR="003E7ECB" w:rsidRDefault="003E7ECB" w:rsidP="003E7EC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CDDC"/>
        <w:jc w:val="center"/>
        <w:rPr>
          <w:b/>
          <w:sz w:val="28"/>
          <w:szCs w:val="28"/>
        </w:rPr>
      </w:pPr>
    </w:p>
    <w:p w:rsidR="003E7ECB" w:rsidRDefault="003E7ECB" w:rsidP="003E7EC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CDDC"/>
        <w:jc w:val="center"/>
        <w:rPr>
          <w:b/>
          <w:sz w:val="28"/>
          <w:szCs w:val="28"/>
        </w:rPr>
      </w:pPr>
      <w:r w:rsidRPr="00072CD9">
        <w:rPr>
          <w:b/>
          <w:sz w:val="28"/>
          <w:szCs w:val="28"/>
        </w:rPr>
        <w:t>Procédure</w:t>
      </w:r>
      <w:r>
        <w:rPr>
          <w:b/>
          <w:sz w:val="28"/>
          <w:szCs w:val="28"/>
        </w:rPr>
        <w:t xml:space="preserve"> de demande d’accueil </w:t>
      </w:r>
      <w:r w:rsidR="00EC5237">
        <w:rPr>
          <w:b/>
          <w:sz w:val="28"/>
          <w:szCs w:val="28"/>
        </w:rPr>
        <w:t xml:space="preserve">dans une UMR </w:t>
      </w:r>
      <w:r w:rsidR="00227847">
        <w:rPr>
          <w:b/>
          <w:sz w:val="28"/>
          <w:szCs w:val="28"/>
        </w:rPr>
        <w:t>– année 2025</w:t>
      </w:r>
    </w:p>
    <w:p w:rsidR="003E7ECB" w:rsidRDefault="003E7ECB" w:rsidP="003E7EC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CDDC"/>
        <w:jc w:val="center"/>
        <w:rPr>
          <w:b/>
          <w:sz w:val="28"/>
          <w:szCs w:val="28"/>
        </w:rPr>
      </w:pPr>
    </w:p>
    <w:p w:rsidR="003E7ECB" w:rsidRDefault="003E7ECB" w:rsidP="003E7ECB"/>
    <w:p w:rsidR="003E7ECB" w:rsidRDefault="003E7ECB" w:rsidP="003E7ECB"/>
    <w:p w:rsidR="00637931" w:rsidRDefault="003E7ECB" w:rsidP="00352355">
      <w:pPr>
        <w:jc w:val="both"/>
        <w:rPr>
          <w:rFonts w:eastAsiaTheme="minorHAnsi"/>
          <w:color w:val="1F497D"/>
        </w:rPr>
      </w:pPr>
      <w:r>
        <w:t>Les dossi</w:t>
      </w:r>
      <w:r w:rsidR="0085751A">
        <w:t>ers de candidature sont à envoy</w:t>
      </w:r>
      <w:r>
        <w:t>er au CNRS en version électronique (sous la forme</w:t>
      </w:r>
      <w:r w:rsidR="00AE3C35">
        <w:t xml:space="preserve"> d’un seul fichier au format PDF</w:t>
      </w:r>
      <w:r>
        <w:t xml:space="preserve"> ou bien dans un dossier zippé) </w:t>
      </w:r>
      <w:r w:rsidR="00515942">
        <w:rPr>
          <w:b/>
        </w:rPr>
        <w:t xml:space="preserve">au plus tard le </w:t>
      </w:r>
      <w:r w:rsidR="00E35B85">
        <w:rPr>
          <w:b/>
          <w:u w:val="single"/>
        </w:rPr>
        <w:t> </w:t>
      </w:r>
      <w:r w:rsidR="00227847">
        <w:rPr>
          <w:b/>
          <w:u w:val="single"/>
        </w:rPr>
        <w:t>vendr</w:t>
      </w:r>
      <w:r w:rsidR="00352355">
        <w:rPr>
          <w:b/>
          <w:u w:val="single"/>
        </w:rPr>
        <w:t>e</w:t>
      </w:r>
      <w:r w:rsidR="00471ADF">
        <w:rPr>
          <w:b/>
          <w:u w:val="single"/>
        </w:rPr>
        <w:t xml:space="preserve">di </w:t>
      </w:r>
      <w:r w:rsidR="00227847">
        <w:rPr>
          <w:b/>
          <w:u w:val="single"/>
        </w:rPr>
        <w:t>23 mai  2025</w:t>
      </w:r>
      <w:r w:rsidR="00352355">
        <w:rPr>
          <w:b/>
          <w:u w:val="single"/>
        </w:rPr>
        <w:t xml:space="preserve"> </w:t>
      </w:r>
      <w:r w:rsidR="00352355">
        <w:t xml:space="preserve"> à </w:t>
      </w:r>
      <w:r>
        <w:t xml:space="preserve">l’adresse suivante : </w:t>
      </w:r>
      <w:hyperlink r:id="rId6" w:history="1">
        <w:r w:rsidR="0088721E" w:rsidRPr="00F677DE">
          <w:rPr>
            <w:rStyle w:val="Lienhypertexte"/>
          </w:rPr>
          <w:t>cnrs-shs.archeo.prev2025@cnrs.fr</w:t>
        </w:r>
      </w:hyperlink>
      <w:r w:rsidR="00B11DFD" w:rsidRPr="00B11DFD">
        <w:rPr>
          <w:rStyle w:val="Lienhypertexte"/>
          <w:color w:val="auto"/>
          <w:u w:val="none"/>
        </w:rPr>
        <w:t xml:space="preserve"> .</w:t>
      </w:r>
    </w:p>
    <w:p w:rsidR="003E7ECB" w:rsidRDefault="003E7ECB" w:rsidP="003E7ECB">
      <w:pPr>
        <w:jc w:val="both"/>
      </w:pPr>
      <w:r>
        <w:t>Tout dossier incomplet (ex.</w:t>
      </w:r>
      <w:r w:rsidR="00A9267A">
        <w:t> :</w:t>
      </w:r>
      <w:r>
        <w:t xml:space="preserve"> signatures manquantes) sera refusé. </w:t>
      </w:r>
      <w:r w:rsidR="002B7BC1" w:rsidRPr="003348FC">
        <w:t xml:space="preserve">Le candidat est d’ailleurs fortement invité à rentrer sa signature électronique et à récupérer les autres signatures </w:t>
      </w:r>
      <w:r w:rsidR="003348FC" w:rsidRPr="003348FC">
        <w:t>demandées </w:t>
      </w:r>
      <w:r w:rsidR="002B7BC1" w:rsidRPr="003348FC">
        <w:t xml:space="preserve">en version électronique, pour des raisons de facilité  de circuit du document.  </w:t>
      </w:r>
      <w:r>
        <w:t>Dans le cas d’un projet impliquant plusieurs agents, un dossier unique zippé sera adressé, comprenant un formulaire rempli par chacun des agents et les pièces jointes correspondantes.</w:t>
      </w:r>
    </w:p>
    <w:p w:rsidR="003E7ECB" w:rsidRDefault="003E7ECB" w:rsidP="003E7ECB">
      <w:pPr>
        <w:jc w:val="both"/>
      </w:pPr>
      <w:r>
        <w:t>Les dossiers seront sélectionnés par une commission composée :</w:t>
      </w:r>
    </w:p>
    <w:p w:rsidR="003E7ECB" w:rsidRDefault="0088721E" w:rsidP="003E7ECB">
      <w:pPr>
        <w:ind w:left="851"/>
      </w:pPr>
      <w:r>
        <w:t>- du</w:t>
      </w:r>
      <w:r w:rsidR="003E7ECB">
        <w:t xml:space="preserve"> Vice-président du CNRA, </w:t>
      </w:r>
      <w:r w:rsidR="003E7ECB">
        <w:br/>
        <w:t xml:space="preserve">- d'un représentant de l'INRAP, </w:t>
      </w:r>
      <w:r w:rsidR="003E7ECB">
        <w:br/>
        <w:t xml:space="preserve">- d'un représentant des autres acteurs de l'archéologie préventive, </w:t>
      </w:r>
      <w:r w:rsidR="003E7ECB">
        <w:br/>
        <w:t xml:space="preserve">- des présidents des sections 31 et 32 du comité national et d'un autre membre de chacune   </w:t>
      </w:r>
      <w:r w:rsidR="00B11DFD">
        <w:t xml:space="preserve">  </w:t>
      </w:r>
      <w:r w:rsidR="003E7ECB">
        <w:t xml:space="preserve">des sections, </w:t>
      </w:r>
      <w:r w:rsidR="003E7ECB">
        <w:br/>
        <w:t>- d'un représentant de la d</w:t>
      </w:r>
      <w:r w:rsidR="00352355">
        <w:t>irection scientifi</w:t>
      </w:r>
      <w:r>
        <w:t>que de CNRS Sciences humaines &amp;</w:t>
      </w:r>
      <w:r w:rsidR="00352355">
        <w:t xml:space="preserve"> sociales</w:t>
      </w:r>
      <w:r w:rsidR="003E7ECB">
        <w:t xml:space="preserve">, </w:t>
      </w:r>
      <w:r w:rsidR="003E7ECB">
        <w:br/>
        <w:t xml:space="preserve">- d'un représentant de la </w:t>
      </w:r>
      <w:r w:rsidR="00352355">
        <w:t xml:space="preserve">direction </w:t>
      </w:r>
      <w:r>
        <w:t>scientifique de CNRS Écologie &amp;</w:t>
      </w:r>
      <w:r w:rsidR="00352355">
        <w:t xml:space="preserve"> Environnement</w:t>
      </w:r>
      <w:r w:rsidR="003E7ECB">
        <w:t>.</w:t>
      </w:r>
    </w:p>
    <w:p w:rsidR="003E7ECB" w:rsidRDefault="003E7ECB" w:rsidP="003E7ECB">
      <w:pPr>
        <w:jc w:val="both"/>
      </w:pPr>
      <w:r>
        <w:t xml:space="preserve">Les candidats, les directeurs </w:t>
      </w:r>
      <w:r w:rsidRPr="00705E08">
        <w:t>des</w:t>
      </w:r>
      <w:r>
        <w:t xml:space="preserve"> unités d’accueil et les employeurs seront informés du résultat de la sélection </w:t>
      </w:r>
      <w:r w:rsidR="0037468E">
        <w:t xml:space="preserve">entre </w:t>
      </w:r>
      <w:r w:rsidR="005C7162">
        <w:t>fin juin</w:t>
      </w:r>
      <w:r w:rsidR="0037468E">
        <w:t xml:space="preserve"> et début juillet</w:t>
      </w:r>
      <w:r>
        <w:t>.</w:t>
      </w:r>
    </w:p>
    <w:p w:rsidR="003E7ECB" w:rsidRDefault="003E7ECB" w:rsidP="003E7ECB">
      <w:pPr>
        <w:jc w:val="both"/>
      </w:pPr>
      <w:r>
        <w:t>A l’issue de leur accueil, les candidats retenus devront fournir un compte-rendu d’activité d’une page (avec des pièces justificatives éventuelles) pour le</w:t>
      </w:r>
      <w:r w:rsidR="0088721E">
        <w:t xml:space="preserve"> lund</w:t>
      </w:r>
      <w:r w:rsidR="00352355">
        <w:t>i</w:t>
      </w:r>
      <w:r w:rsidR="0088721E">
        <w:t xml:space="preserve"> 2</w:t>
      </w:r>
      <w:r w:rsidR="00515942">
        <w:t xml:space="preserve"> mars 20</w:t>
      </w:r>
      <w:r w:rsidR="00C15590">
        <w:t>2</w:t>
      </w:r>
      <w:r w:rsidR="0088721E">
        <w:t>6</w:t>
      </w:r>
      <w:bookmarkStart w:id="0" w:name="_GoBack"/>
      <w:bookmarkEnd w:id="0"/>
      <w:r>
        <w:t>.</w:t>
      </w:r>
    </w:p>
    <w:p w:rsidR="003E7ECB" w:rsidRDefault="003E7ECB" w:rsidP="003E7ECB">
      <w:pPr>
        <w:ind w:left="709" w:hanging="142"/>
        <w:jc w:val="both"/>
      </w:pPr>
    </w:p>
    <w:p w:rsidR="003E7ECB" w:rsidRDefault="003E7ECB" w:rsidP="003E7ECB">
      <w:pPr>
        <w:ind w:left="709" w:hanging="142"/>
        <w:jc w:val="both"/>
      </w:pPr>
    </w:p>
    <w:p w:rsidR="003E7ECB" w:rsidRDefault="003E7ECB" w:rsidP="003E7ECB">
      <w:pPr>
        <w:jc w:val="both"/>
      </w:pPr>
    </w:p>
    <w:p w:rsidR="003E7ECB" w:rsidRDefault="003E7ECB" w:rsidP="003E7ECB">
      <w:pPr>
        <w:ind w:left="360"/>
        <w:jc w:val="both"/>
      </w:pPr>
    </w:p>
    <w:sectPr w:rsidR="003E7E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74C" w:rsidRDefault="00A1274C" w:rsidP="00A1274C">
      <w:pPr>
        <w:spacing w:after="0" w:line="240" w:lineRule="auto"/>
      </w:pPr>
      <w:r>
        <w:separator/>
      </w:r>
    </w:p>
  </w:endnote>
  <w:endnote w:type="continuationSeparator" w:id="0">
    <w:p w:rsidR="00A1274C" w:rsidRDefault="00A1274C" w:rsidP="00A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74C" w:rsidRDefault="00A1274C" w:rsidP="00A1274C">
      <w:pPr>
        <w:spacing w:after="0" w:line="240" w:lineRule="auto"/>
      </w:pPr>
      <w:r>
        <w:separator/>
      </w:r>
    </w:p>
  </w:footnote>
  <w:footnote w:type="continuationSeparator" w:id="0">
    <w:p w:rsidR="00A1274C" w:rsidRDefault="00A1274C" w:rsidP="00A1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74C" w:rsidRDefault="00A1274C">
    <w:pPr>
      <w:pStyle w:val="En-tte"/>
    </w:pPr>
    <w:r>
      <w:rPr>
        <w:noProof/>
        <w:lang w:eastAsia="fr-FR"/>
      </w:rPr>
      <w:drawing>
        <wp:inline distT="0" distB="0" distL="0" distR="0" wp14:anchorId="254CEA67">
          <wp:extent cx="756285" cy="756285"/>
          <wp:effectExtent l="0" t="0" r="5715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CB"/>
    <w:rsid w:val="00050972"/>
    <w:rsid w:val="001E1F98"/>
    <w:rsid w:val="00227847"/>
    <w:rsid w:val="002B7BC1"/>
    <w:rsid w:val="003348FC"/>
    <w:rsid w:val="00352355"/>
    <w:rsid w:val="0037468E"/>
    <w:rsid w:val="003E7ECB"/>
    <w:rsid w:val="00450677"/>
    <w:rsid w:val="00471ADF"/>
    <w:rsid w:val="004D796D"/>
    <w:rsid w:val="00515942"/>
    <w:rsid w:val="005922A3"/>
    <w:rsid w:val="005C7162"/>
    <w:rsid w:val="00637931"/>
    <w:rsid w:val="007160C8"/>
    <w:rsid w:val="00730411"/>
    <w:rsid w:val="007474E7"/>
    <w:rsid w:val="0085751A"/>
    <w:rsid w:val="0088721E"/>
    <w:rsid w:val="008A2666"/>
    <w:rsid w:val="00A1274C"/>
    <w:rsid w:val="00A9267A"/>
    <w:rsid w:val="00AE3C35"/>
    <w:rsid w:val="00B036CC"/>
    <w:rsid w:val="00B11DFD"/>
    <w:rsid w:val="00B249AC"/>
    <w:rsid w:val="00C15590"/>
    <w:rsid w:val="00C50FFE"/>
    <w:rsid w:val="00C53464"/>
    <w:rsid w:val="00C60A35"/>
    <w:rsid w:val="00D70248"/>
    <w:rsid w:val="00DF34C8"/>
    <w:rsid w:val="00DF7EC7"/>
    <w:rsid w:val="00E35B85"/>
    <w:rsid w:val="00EC5237"/>
    <w:rsid w:val="00E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324B59"/>
  <w15:docId w15:val="{D0B95473-BF78-4BAE-B4FA-BAF2442B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C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3E7EC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274C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2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rs-shs.archeo.prev2025@cnr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PENAUD Nathalie</dc:creator>
  <cp:lastModifiedBy>PENAUD Nathalie</cp:lastModifiedBy>
  <cp:revision>3</cp:revision>
  <cp:lastPrinted>2017-05-12T13:29:00Z</cp:lastPrinted>
  <dcterms:created xsi:type="dcterms:W3CDTF">2025-04-03T14:04:00Z</dcterms:created>
  <dcterms:modified xsi:type="dcterms:W3CDTF">2025-04-03T14:32:00Z</dcterms:modified>
</cp:coreProperties>
</file>