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line="276" w:lineRule="auto"/>
        <w:jc w:val="center"/>
        <w:rPr>
          <w:b w:val="1"/>
          <w:sz w:val="34"/>
          <w:szCs w:val="34"/>
        </w:rPr>
      </w:pPr>
      <w:r w:rsidDel="00000000" w:rsidR="00000000" w:rsidRPr="00000000">
        <w:rPr>
          <w:b w:val="1"/>
          <w:sz w:val="34"/>
          <w:szCs w:val="34"/>
          <w:rtl w:val="0"/>
        </w:rPr>
        <w:t xml:space="preserve">La démocratie à l’université : </w:t>
      </w:r>
    </w:p>
    <w:p w:rsidR="00000000" w:rsidDel="00000000" w:rsidP="00000000" w:rsidRDefault="00000000" w:rsidRPr="00000000" w14:paraId="00000002">
      <w:pPr>
        <w:spacing w:after="240" w:line="276" w:lineRule="auto"/>
        <w:jc w:val="center"/>
        <w:rPr>
          <w:b w:val="1"/>
          <w:sz w:val="32"/>
          <w:szCs w:val="32"/>
        </w:rPr>
      </w:pPr>
      <w:r w:rsidDel="00000000" w:rsidR="00000000" w:rsidRPr="00000000">
        <w:rPr>
          <w:b w:val="1"/>
          <w:sz w:val="34"/>
          <w:szCs w:val="34"/>
          <w:rtl w:val="0"/>
        </w:rPr>
        <w:t xml:space="preserve">principes, pratiques et enjeux dans un monde globalisé</w:t>
      </w:r>
      <w:r w:rsidDel="00000000" w:rsidR="00000000" w:rsidRPr="00000000">
        <w:rPr>
          <w:rtl w:val="0"/>
        </w:rPr>
      </w:r>
    </w:p>
    <w:p w:rsidR="00000000" w:rsidDel="00000000" w:rsidP="00000000" w:rsidRDefault="00000000" w:rsidRPr="00000000" w14:paraId="00000003">
      <w:pPr>
        <w:spacing w:after="240" w:line="276" w:lineRule="auto"/>
        <w:jc w:val="center"/>
        <w:rPr>
          <w:b w:val="1"/>
          <w:sz w:val="24"/>
          <w:szCs w:val="24"/>
        </w:rPr>
      </w:pPr>
      <w:r w:rsidDel="00000000" w:rsidR="00000000" w:rsidRPr="00000000">
        <w:rPr>
          <w:b w:val="1"/>
          <w:sz w:val="24"/>
          <w:szCs w:val="24"/>
          <w:rtl w:val="0"/>
        </w:rPr>
        <w:t xml:space="preserve">Colloque international pluridisciplinaire et plurilingue : </w:t>
      </w:r>
    </w:p>
    <w:p w:rsidR="00000000" w:rsidDel="00000000" w:rsidP="00000000" w:rsidRDefault="00000000" w:rsidRPr="00000000" w14:paraId="00000004">
      <w:pPr>
        <w:spacing w:after="240" w:line="276" w:lineRule="auto"/>
        <w:jc w:val="center"/>
        <w:rPr/>
      </w:pPr>
      <w:r w:rsidDel="00000000" w:rsidR="00000000" w:rsidRPr="00000000">
        <w:rPr>
          <w:rtl w:val="0"/>
        </w:rPr>
        <w:t xml:space="preserve">français, allemand, anglais, espagnol, italien et portugais</w:t>
      </w:r>
    </w:p>
    <w:p w:rsidR="00000000" w:rsidDel="00000000" w:rsidP="00000000" w:rsidRDefault="00000000" w:rsidRPr="00000000" w14:paraId="00000005">
      <w:pPr>
        <w:spacing w:after="240" w:line="276" w:lineRule="auto"/>
        <w:jc w:val="center"/>
        <w:rPr/>
      </w:pPr>
      <w:r w:rsidDel="00000000" w:rsidR="00000000" w:rsidRPr="00000000">
        <w:rPr>
          <w:rtl w:val="0"/>
        </w:rPr>
      </w:r>
    </w:p>
    <w:p w:rsidR="00000000" w:rsidDel="00000000" w:rsidP="00000000" w:rsidRDefault="00000000" w:rsidRPr="00000000" w14:paraId="00000006">
      <w:pPr>
        <w:spacing w:line="276" w:lineRule="auto"/>
        <w:jc w:val="center"/>
        <w:rPr>
          <w:sz w:val="24"/>
          <w:szCs w:val="24"/>
        </w:rPr>
      </w:pPr>
      <w:r w:rsidDel="00000000" w:rsidR="00000000" w:rsidRPr="00000000">
        <w:rPr>
          <w:sz w:val="24"/>
          <w:szCs w:val="24"/>
          <w:rtl w:val="0"/>
        </w:rPr>
        <w:t xml:space="preserve">Sous le patronage de l’Institut de Recherches Economiques et Sociales (IRES) </w:t>
      </w:r>
    </w:p>
    <w:p w:rsidR="00000000" w:rsidDel="00000000" w:rsidP="00000000" w:rsidRDefault="00000000" w:rsidRPr="00000000" w14:paraId="00000007">
      <w:pPr>
        <w:spacing w:line="276" w:lineRule="auto"/>
        <w:jc w:val="center"/>
        <w:rPr>
          <w:sz w:val="24"/>
          <w:szCs w:val="24"/>
        </w:rPr>
      </w:pPr>
      <w:r w:rsidDel="00000000" w:rsidR="00000000" w:rsidRPr="00000000">
        <w:rPr>
          <w:sz w:val="24"/>
          <w:szCs w:val="24"/>
          <w:rtl w:val="0"/>
        </w:rPr>
        <w:t xml:space="preserve">et du Centre Henri-Aigueperse</w:t>
      </w:r>
    </w:p>
    <w:p w:rsidR="00000000" w:rsidDel="00000000" w:rsidP="00000000" w:rsidRDefault="00000000" w:rsidRPr="00000000" w14:paraId="00000008">
      <w:pPr>
        <w:spacing w:line="276" w:lineRule="auto"/>
        <w:jc w:val="center"/>
        <w:rPr>
          <w:sz w:val="24"/>
          <w:szCs w:val="24"/>
        </w:rPr>
      </w:pPr>
      <w:r w:rsidDel="00000000" w:rsidR="00000000" w:rsidRPr="00000000">
        <w:rPr>
          <w:rtl w:val="0"/>
        </w:rPr>
      </w:r>
    </w:p>
    <w:p w:rsidR="00000000" w:rsidDel="00000000" w:rsidP="00000000" w:rsidRDefault="00000000" w:rsidRPr="00000000" w14:paraId="00000009">
      <w:pPr>
        <w:spacing w:after="240" w:line="276" w:lineRule="auto"/>
        <w:rPr/>
      </w:pPr>
      <w:r w:rsidDel="00000000" w:rsidR="00000000" w:rsidRPr="00000000">
        <w:rPr>
          <w:b w:val="1"/>
          <w:rtl w:val="0"/>
        </w:rPr>
        <w:br w:type="textWrapping"/>
      </w:r>
      <w:r w:rsidDel="00000000" w:rsidR="00000000" w:rsidRPr="00000000">
        <w:rPr>
          <w:rtl w:val="0"/>
        </w:rPr>
        <w:t xml:space="preserve">Lieu : </w:t>
      </w:r>
      <w:r w:rsidDel="00000000" w:rsidR="00000000" w:rsidRPr="00000000">
        <w:rPr>
          <w:b w:val="1"/>
          <w:rtl w:val="0"/>
        </w:rPr>
        <w:t xml:space="preserve">Université de Poitiers, France</w:t>
      </w:r>
      <w:r w:rsidDel="00000000" w:rsidR="00000000" w:rsidRPr="00000000">
        <w:rPr>
          <w:rtl w:val="0"/>
        </w:rPr>
        <w:br w:type="textWrapping"/>
        <w:t xml:space="preserve">Dates : </w:t>
      </w:r>
      <w:r w:rsidDel="00000000" w:rsidR="00000000" w:rsidRPr="00000000">
        <w:rPr>
          <w:b w:val="1"/>
          <w:rtl w:val="0"/>
        </w:rPr>
        <w:t xml:space="preserve">9 et 10 octobre 2025</w:t>
      </w:r>
      <w:r w:rsidDel="00000000" w:rsidR="00000000" w:rsidRPr="00000000">
        <w:rPr>
          <w:rtl w:val="0"/>
        </w:rPr>
      </w:r>
    </w:p>
    <w:p w:rsidR="00000000" w:rsidDel="00000000" w:rsidP="00000000" w:rsidRDefault="00000000" w:rsidRPr="00000000" w14:paraId="0000000A">
      <w:pPr>
        <w:spacing w:after="240" w:before="240" w:line="276" w:lineRule="auto"/>
        <w:jc w:val="both"/>
        <w:rPr/>
      </w:pPr>
      <w:r w:rsidDel="00000000" w:rsidR="00000000" w:rsidRPr="00000000">
        <w:rPr>
          <w:rtl w:val="0"/>
        </w:rPr>
        <w:t xml:space="preserve">La démocratie est une notion fondamentale, définie comme une forme de gouvernement où la souveraineté appartient au peuple. Mais que signifie "être en démocratie" dans le contexte spécifique de l’université ? En France et ailleurs, la place de la démocratie à l’université soulève des interrogations majeures, tant dans ses principes que dans ses pratiques.</w:t>
      </w:r>
    </w:p>
    <w:p w:rsidR="00000000" w:rsidDel="00000000" w:rsidP="00000000" w:rsidRDefault="00000000" w:rsidRPr="00000000" w14:paraId="0000000B">
      <w:pPr>
        <w:spacing w:after="240" w:before="240" w:line="276" w:lineRule="auto"/>
        <w:jc w:val="both"/>
        <w:rPr/>
      </w:pPr>
      <w:r w:rsidDel="00000000" w:rsidR="00000000" w:rsidRPr="00000000">
        <w:rPr>
          <w:rtl w:val="0"/>
        </w:rPr>
        <w:t xml:space="preserve">Ce colloque vise à interroger le concept de démocratie universitaire en tant que principe et/ou valeur fondamentale. Il s’agit également d’explorer ses formes institutionnelles et non-institutionnelles, et de mettre en lumière les interactions entre le modèle français et les modèles étrangers dans un contexte de mondialisation.</w:t>
      </w:r>
    </w:p>
    <w:p w:rsidR="00000000" w:rsidDel="00000000" w:rsidP="00000000" w:rsidRDefault="00000000" w:rsidRPr="00000000" w14:paraId="0000000C">
      <w:pPr>
        <w:spacing w:after="80" w:before="280" w:line="276" w:lineRule="auto"/>
        <w:jc w:val="both"/>
        <w:rPr>
          <w:b w:val="1"/>
          <w:sz w:val="26"/>
          <w:szCs w:val="26"/>
        </w:rPr>
      </w:pPr>
      <w:bookmarkStart w:colFirst="0" w:colLast="0" w:name="_gjdgxs" w:id="0"/>
      <w:bookmarkEnd w:id="0"/>
      <w:r w:rsidDel="00000000" w:rsidR="00000000" w:rsidRPr="00000000">
        <w:rPr>
          <w:b w:val="1"/>
          <w:sz w:val="26"/>
          <w:szCs w:val="26"/>
          <w:rtl w:val="0"/>
        </w:rPr>
        <w:t xml:space="preserve">Approche internationale et comparatiste</w:t>
      </w:r>
    </w:p>
    <w:p w:rsidR="00000000" w:rsidDel="00000000" w:rsidP="00000000" w:rsidRDefault="00000000" w:rsidRPr="00000000" w14:paraId="0000000D">
      <w:pPr>
        <w:spacing w:after="240" w:before="240" w:line="276" w:lineRule="auto"/>
        <w:jc w:val="both"/>
        <w:rPr/>
      </w:pPr>
      <w:r w:rsidDel="00000000" w:rsidR="00000000" w:rsidRPr="00000000">
        <w:rPr>
          <w:rtl w:val="0"/>
        </w:rPr>
        <w:t xml:space="preserve">Dans un  premier volet, le colloque interrogera le modèle français puis, dans un second volet, l’étude des modèles étrangers sera envisagée dans une perspective comparatiste. La démocratie à l’université s’exprime-t-elle différemment selon les pays ? Cette perspective permettra d’éclairer la singularité du cas français tout en offrant une vision globale et interconnectée.</w:t>
      </w:r>
    </w:p>
    <w:p w:rsidR="00000000" w:rsidDel="00000000" w:rsidP="00000000" w:rsidRDefault="00000000" w:rsidRPr="00000000" w14:paraId="0000000E">
      <w:pPr>
        <w:spacing w:after="240" w:before="240" w:line="276" w:lineRule="auto"/>
        <w:jc w:val="both"/>
        <w:rPr/>
      </w:pPr>
      <w:r w:rsidDel="00000000" w:rsidR="00000000" w:rsidRPr="00000000">
        <w:rPr>
          <w:rtl w:val="0"/>
        </w:rPr>
        <w:br w:type="textWrapping"/>
        <w:t xml:space="preserve">Quelques pistes de réflexion :</w:t>
      </w:r>
    </w:p>
    <w:p w:rsidR="00000000" w:rsidDel="00000000" w:rsidP="00000000" w:rsidRDefault="00000000" w:rsidRPr="00000000" w14:paraId="0000000F">
      <w:pPr>
        <w:numPr>
          <w:ilvl w:val="0"/>
          <w:numId w:val="2"/>
        </w:numPr>
        <w:spacing w:before="240" w:line="276" w:lineRule="auto"/>
        <w:ind w:left="720" w:hanging="360"/>
        <w:jc w:val="both"/>
      </w:pPr>
      <w:r w:rsidDel="00000000" w:rsidR="00000000" w:rsidRPr="00000000">
        <w:rPr>
          <w:rtl w:val="0"/>
        </w:rPr>
        <w:t xml:space="preserve">Les principes démocratiques à l’université sont-ils universels ou adaptés aux contextes sociétaux nationaux ?</w:t>
      </w:r>
    </w:p>
    <w:p w:rsidR="00000000" w:rsidDel="00000000" w:rsidP="00000000" w:rsidRDefault="00000000" w:rsidRPr="00000000" w14:paraId="00000010">
      <w:pPr>
        <w:numPr>
          <w:ilvl w:val="0"/>
          <w:numId w:val="2"/>
        </w:numPr>
        <w:spacing w:after="240" w:line="276" w:lineRule="auto"/>
        <w:ind w:left="720" w:hanging="360"/>
        <w:jc w:val="both"/>
      </w:pPr>
      <w:r w:rsidDel="00000000" w:rsidR="00000000" w:rsidRPr="00000000">
        <w:rPr>
          <w:rtl w:val="0"/>
        </w:rPr>
        <w:t xml:space="preserve">Comment les universités, en tant qu’espaces de formation des citoyens, intègrent-elles les spécificités des modèles sociétaux dans un monde globalisé ?</w:t>
      </w:r>
    </w:p>
    <w:p w:rsidR="00000000" w:rsidDel="00000000" w:rsidP="00000000" w:rsidRDefault="00000000" w:rsidRPr="00000000" w14:paraId="00000011">
      <w:pPr>
        <w:spacing w:after="240" w:before="240" w:line="276" w:lineRule="auto"/>
        <w:jc w:val="both"/>
        <w:rPr/>
      </w:pPr>
      <w:r w:rsidDel="00000000" w:rsidR="00000000" w:rsidRPr="00000000">
        <w:rPr>
          <w:rtl w:val="0"/>
        </w:rPr>
        <w:t xml:space="preserve">En réunissant chercheurs, enseignants, acteurs institutionnels, étudiants et experts, ce colloque propose une réflexion transdisciplinaire et comparatiste qui s’articulera en deux volets complémentaires. Le premier volet portera sur le cas français, tandis que le second élargira l’analyse à une perspective comparatiste internationale, permettant une mise en regard avec la situation en France. Chaque volet s’articulera autour de deux axes :</w:t>
      </w:r>
    </w:p>
    <w:p w:rsidR="00000000" w:rsidDel="00000000" w:rsidP="00000000" w:rsidRDefault="00000000" w:rsidRPr="00000000" w14:paraId="00000012">
      <w:pPr>
        <w:spacing w:after="80" w:before="280" w:line="276" w:lineRule="auto"/>
        <w:jc w:val="both"/>
        <w:rPr>
          <w:b w:val="1"/>
          <w:sz w:val="24"/>
          <w:szCs w:val="24"/>
        </w:rPr>
      </w:pPr>
      <w:bookmarkStart w:colFirst="0" w:colLast="0" w:name="_30j0zll" w:id="1"/>
      <w:bookmarkEnd w:id="1"/>
      <w:r w:rsidDel="00000000" w:rsidR="00000000" w:rsidRPr="00000000">
        <w:rPr>
          <w:b w:val="1"/>
          <w:sz w:val="24"/>
          <w:szCs w:val="24"/>
          <w:u w:val="single"/>
          <w:rtl w:val="0"/>
        </w:rPr>
        <w:t xml:space="preserve">Axe 1</w:t>
      </w:r>
      <w:r w:rsidDel="00000000" w:rsidR="00000000" w:rsidRPr="00000000">
        <w:rPr>
          <w:b w:val="1"/>
          <w:sz w:val="24"/>
          <w:szCs w:val="24"/>
          <w:rtl w:val="0"/>
        </w:rPr>
        <w:t xml:space="preserve"> : </w:t>
      </w:r>
    </w:p>
    <w:p w:rsidR="00000000" w:rsidDel="00000000" w:rsidP="00000000" w:rsidRDefault="00000000" w:rsidRPr="00000000" w14:paraId="00000013">
      <w:pPr>
        <w:spacing w:after="80" w:before="280" w:line="276" w:lineRule="auto"/>
        <w:jc w:val="both"/>
        <w:rPr>
          <w:b w:val="1"/>
          <w:sz w:val="24"/>
          <w:szCs w:val="24"/>
        </w:rPr>
      </w:pPr>
      <w:bookmarkStart w:colFirst="0" w:colLast="0" w:name="_oscfwmge05lg" w:id="2"/>
      <w:bookmarkEnd w:id="2"/>
      <w:r w:rsidDel="00000000" w:rsidR="00000000" w:rsidRPr="00000000">
        <w:rPr>
          <w:b w:val="1"/>
          <w:sz w:val="24"/>
          <w:szCs w:val="24"/>
          <w:rtl w:val="0"/>
        </w:rPr>
        <w:t xml:space="preserve">La démocratie universitaire et institutionnelle : France / étranger</w:t>
      </w:r>
    </w:p>
    <w:p w:rsidR="00000000" w:rsidDel="00000000" w:rsidP="00000000" w:rsidRDefault="00000000" w:rsidRPr="00000000" w14:paraId="00000014">
      <w:pPr>
        <w:spacing w:after="240" w:before="240" w:line="276" w:lineRule="auto"/>
        <w:jc w:val="both"/>
        <w:rPr/>
      </w:pPr>
      <w:r w:rsidDel="00000000" w:rsidR="00000000" w:rsidRPr="00000000">
        <w:rPr>
          <w:rtl w:val="0"/>
        </w:rPr>
        <w:t xml:space="preserve">Cet axe interroge la mise en œuvre et l’exercice des principes démocratiques au sein des institutions universitaires, à travers des problématiques telles que :</w:t>
      </w:r>
    </w:p>
    <w:p w:rsidR="00000000" w:rsidDel="00000000" w:rsidP="00000000" w:rsidRDefault="00000000" w:rsidRPr="00000000" w14:paraId="00000015">
      <w:pPr>
        <w:spacing w:after="240" w:before="240" w:line="276" w:lineRule="auto"/>
        <w:jc w:val="both"/>
        <w:rPr/>
      </w:pPr>
      <w:r w:rsidDel="00000000" w:rsidR="00000000" w:rsidRPr="00000000">
        <w:rPr>
          <w:b w:val="1"/>
          <w:rtl w:val="0"/>
        </w:rPr>
        <w:t xml:space="preserve">Les conditions démocratiques des élections universitaires</w:t>
      </w:r>
      <w:r w:rsidDel="00000000" w:rsidR="00000000" w:rsidRPr="00000000">
        <w:rPr>
          <w:rtl w:val="0"/>
        </w:rPr>
        <w:t xml:space="preserve"> : Comment les processus électoraux au sein des universités garantissent-ils une véritable représentativité des acteurs (personnels, étudiants, personnalités extérieures) ?</w:t>
      </w:r>
    </w:p>
    <w:p w:rsidR="00000000" w:rsidDel="00000000" w:rsidP="00000000" w:rsidRDefault="00000000" w:rsidRPr="00000000" w14:paraId="00000016">
      <w:pPr>
        <w:spacing w:after="240" w:before="240" w:line="276" w:lineRule="auto"/>
        <w:jc w:val="both"/>
        <w:rPr/>
      </w:pPr>
      <w:r w:rsidDel="00000000" w:rsidR="00000000" w:rsidRPr="00000000">
        <w:rPr>
          <w:b w:val="1"/>
          <w:rtl w:val="0"/>
        </w:rPr>
        <w:t xml:space="preserve">Les évolutions institutionnelles et la démocratie</w:t>
      </w:r>
      <w:r w:rsidDel="00000000" w:rsidR="00000000" w:rsidRPr="00000000">
        <w:rPr>
          <w:rtl w:val="0"/>
        </w:rPr>
        <w:t xml:space="preserve"> : Avec la transformation des établissements, </w:t>
      </w:r>
      <w:r w:rsidDel="00000000" w:rsidR="00000000" w:rsidRPr="00000000">
        <w:rPr>
          <w:highlight w:val="white"/>
          <w:rtl w:val="0"/>
        </w:rPr>
        <w:t xml:space="preserve">comme en France par exemple avec </w:t>
      </w:r>
      <w:r w:rsidDel="00000000" w:rsidR="00000000" w:rsidRPr="00000000">
        <w:rPr>
          <w:rtl w:val="0"/>
        </w:rPr>
        <w:t xml:space="preserve">les Établissements Publics Expérimentaux (EPE), comment sont conciliés principes démocratiques et nouveaux modes de gouvernance ?</w:t>
      </w:r>
    </w:p>
    <w:p w:rsidR="00000000" w:rsidDel="00000000" w:rsidP="00000000" w:rsidRDefault="00000000" w:rsidRPr="00000000" w14:paraId="00000017">
      <w:pPr>
        <w:spacing w:after="240" w:before="240" w:line="276" w:lineRule="auto"/>
        <w:jc w:val="both"/>
        <w:rPr>
          <w:color w:val="ff0000"/>
        </w:rPr>
      </w:pPr>
      <w:r w:rsidDel="00000000" w:rsidR="00000000" w:rsidRPr="00000000">
        <w:rPr>
          <w:b w:val="1"/>
          <w:rtl w:val="0"/>
        </w:rPr>
        <w:t xml:space="preserve">L’impact de l’accès à l’université pour tous</w:t>
      </w:r>
      <w:r w:rsidDel="00000000" w:rsidR="00000000" w:rsidRPr="00000000">
        <w:rPr>
          <w:rtl w:val="0"/>
        </w:rPr>
        <w:t xml:space="preserve"> : En quoi l’ouverture de l’université à un public élargi influence-t-elle la démocratie au sein des établissements ?</w:t>
      </w:r>
      <w:r w:rsidDel="00000000" w:rsidR="00000000" w:rsidRPr="00000000">
        <w:rPr>
          <w:rtl w:val="0"/>
        </w:rPr>
      </w:r>
    </w:p>
    <w:p w:rsidR="00000000" w:rsidDel="00000000" w:rsidP="00000000" w:rsidRDefault="00000000" w:rsidRPr="00000000" w14:paraId="00000018">
      <w:pPr>
        <w:spacing w:after="80" w:before="280" w:line="276" w:lineRule="auto"/>
        <w:jc w:val="both"/>
        <w:rPr>
          <w:b w:val="1"/>
          <w:sz w:val="24"/>
          <w:szCs w:val="24"/>
        </w:rPr>
      </w:pPr>
      <w:bookmarkStart w:colFirst="0" w:colLast="0" w:name="_3znysh7" w:id="3"/>
      <w:bookmarkEnd w:id="3"/>
      <w:r w:rsidDel="00000000" w:rsidR="00000000" w:rsidRPr="00000000">
        <w:rPr>
          <w:b w:val="1"/>
          <w:sz w:val="24"/>
          <w:szCs w:val="24"/>
          <w:u w:val="single"/>
          <w:rtl w:val="0"/>
        </w:rPr>
        <w:t xml:space="preserve">Axe 2</w:t>
      </w:r>
      <w:r w:rsidDel="00000000" w:rsidR="00000000" w:rsidRPr="00000000">
        <w:rPr>
          <w:b w:val="1"/>
          <w:sz w:val="24"/>
          <w:szCs w:val="24"/>
          <w:rtl w:val="0"/>
        </w:rPr>
        <w:t xml:space="preserve"> : </w:t>
      </w:r>
    </w:p>
    <w:p w:rsidR="00000000" w:rsidDel="00000000" w:rsidP="00000000" w:rsidRDefault="00000000" w:rsidRPr="00000000" w14:paraId="00000019">
      <w:pPr>
        <w:spacing w:after="80" w:before="280" w:line="276" w:lineRule="auto"/>
        <w:jc w:val="both"/>
        <w:rPr>
          <w:b w:val="1"/>
          <w:sz w:val="24"/>
          <w:szCs w:val="24"/>
        </w:rPr>
      </w:pPr>
      <w:bookmarkStart w:colFirst="0" w:colLast="0" w:name="_i8r1l3qsmtju" w:id="4"/>
      <w:bookmarkEnd w:id="4"/>
      <w:r w:rsidDel="00000000" w:rsidR="00000000" w:rsidRPr="00000000">
        <w:rPr>
          <w:b w:val="1"/>
          <w:sz w:val="24"/>
          <w:szCs w:val="24"/>
          <w:rtl w:val="0"/>
        </w:rPr>
        <w:t xml:space="preserve">La démocratie à l’université au-delà des instances formelles : France / étranger</w:t>
      </w:r>
    </w:p>
    <w:p w:rsidR="00000000" w:rsidDel="00000000" w:rsidP="00000000" w:rsidRDefault="00000000" w:rsidRPr="00000000" w14:paraId="0000001A">
      <w:pPr>
        <w:spacing w:after="240" w:before="240" w:line="276" w:lineRule="auto"/>
        <w:jc w:val="both"/>
        <w:rPr/>
      </w:pPr>
      <w:r w:rsidDel="00000000" w:rsidR="00000000" w:rsidRPr="00000000">
        <w:rPr>
          <w:rtl w:val="0"/>
        </w:rPr>
        <w:t xml:space="preserve">Cet axe s’intéresse aux formes non-institutionnelles de démocratie au sein des universités et à leurs relations avec la société civile.</w:t>
      </w:r>
    </w:p>
    <w:p w:rsidR="00000000" w:rsidDel="00000000" w:rsidP="00000000" w:rsidRDefault="00000000" w:rsidRPr="00000000" w14:paraId="0000001B">
      <w:pPr>
        <w:spacing w:after="240" w:before="240" w:line="276" w:lineRule="auto"/>
        <w:jc w:val="both"/>
        <w:rPr>
          <w:color w:val="ff0000"/>
          <w:highlight w:val="white"/>
        </w:rPr>
      </w:pPr>
      <w:r w:rsidDel="00000000" w:rsidR="00000000" w:rsidRPr="00000000">
        <w:rPr>
          <w:b w:val="1"/>
          <w:highlight w:val="white"/>
          <w:rtl w:val="0"/>
        </w:rPr>
        <w:t xml:space="preserve">Les acteurs, les motivations et les objectifs</w:t>
      </w:r>
      <w:r w:rsidDel="00000000" w:rsidR="00000000" w:rsidRPr="00000000">
        <w:rPr>
          <w:highlight w:val="white"/>
          <w:rtl w:val="0"/>
        </w:rPr>
        <w:t xml:space="preserve"> : Quels sont les acteurs impliqués dans la démocratie non-institutionnelle à l’université (étudiants, personnels, syndicats, associations, collectifs ?) et quels en sont les enjeux ?</w:t>
      </w:r>
      <w:r w:rsidDel="00000000" w:rsidR="00000000" w:rsidRPr="00000000">
        <w:rPr>
          <w:rtl w:val="0"/>
        </w:rPr>
      </w:r>
    </w:p>
    <w:p w:rsidR="00000000" w:rsidDel="00000000" w:rsidP="00000000" w:rsidRDefault="00000000" w:rsidRPr="00000000" w14:paraId="0000001C">
      <w:pPr>
        <w:spacing w:after="240" w:before="240" w:line="276" w:lineRule="auto"/>
        <w:jc w:val="both"/>
        <w:rPr>
          <w:highlight w:val="white"/>
        </w:rPr>
      </w:pPr>
      <w:r w:rsidDel="00000000" w:rsidR="00000000" w:rsidRPr="00000000">
        <w:rPr>
          <w:b w:val="1"/>
          <w:highlight w:val="white"/>
          <w:rtl w:val="0"/>
        </w:rPr>
        <w:t xml:space="preserve">Formes et pratiques</w:t>
      </w:r>
      <w:r w:rsidDel="00000000" w:rsidR="00000000" w:rsidRPr="00000000">
        <w:rPr>
          <w:highlight w:val="white"/>
          <w:rtl w:val="0"/>
        </w:rPr>
        <w:t xml:space="preserve"> : Des formes et pratiques démocratiques autres qu’institutionnelles ont-elles leur place à l’université? Ces pratiques, comme la démocratie participative par exemple, reproduisent-elles le modèle institutionnel existant ou proposent-elles de véritables alternatives ? Il convient également de s’interroger sur les moyens matériels et organisationnels qui permettent de faire vivre ces pratiques démocratiques au quotidien, en évaluant la place qui leur est accordée, les dynamiques qu’elles suscitent et les obstacles qu’elles rencontrent.</w:t>
      </w:r>
    </w:p>
    <w:p w:rsidR="00000000" w:rsidDel="00000000" w:rsidP="00000000" w:rsidRDefault="00000000" w:rsidRPr="00000000" w14:paraId="0000001D">
      <w:pPr>
        <w:spacing w:after="240" w:before="240" w:line="276" w:lineRule="auto"/>
        <w:jc w:val="both"/>
        <w:rPr>
          <w:highlight w:val="white"/>
        </w:rPr>
      </w:pPr>
      <w:r w:rsidDel="00000000" w:rsidR="00000000" w:rsidRPr="00000000">
        <w:rPr>
          <w:highlight w:val="white"/>
          <w:rtl w:val="0"/>
        </w:rPr>
        <w:t xml:space="preserve">(Une table ronde, un atelier spécifique sera consacré à la place de la démocratie participative, cf. complément ci-après).</w:t>
      </w:r>
    </w:p>
    <w:p w:rsidR="00000000" w:rsidDel="00000000" w:rsidP="00000000" w:rsidRDefault="00000000" w:rsidRPr="00000000" w14:paraId="0000001E">
      <w:pPr>
        <w:spacing w:after="240" w:before="240" w:line="276" w:lineRule="auto"/>
        <w:jc w:val="both"/>
        <w:rPr>
          <w:highlight w:val="white"/>
        </w:rPr>
      </w:pPr>
      <w:r w:rsidDel="00000000" w:rsidR="00000000" w:rsidRPr="00000000">
        <w:rPr>
          <w:b w:val="1"/>
          <w:highlight w:val="white"/>
          <w:rtl w:val="0"/>
        </w:rPr>
        <w:t xml:space="preserve">Liberté d’expression et libertés académiques, à l’université et au-delà</w:t>
      </w:r>
      <w:r w:rsidDel="00000000" w:rsidR="00000000" w:rsidRPr="00000000">
        <w:rPr>
          <w:highlight w:val="white"/>
          <w:rtl w:val="0"/>
        </w:rPr>
        <w:t xml:space="preserve"> : Ces libertés constituent-elles des acquis fondamentaux dans une société démocratique, sont-elles respectées ou sont-elles remises en question dans le contexte universitaire ? Quelle est la marge d’expression des autres membres de la communauté (personnels et étudiants)? </w:t>
      </w:r>
    </w:p>
    <w:p w:rsidR="00000000" w:rsidDel="00000000" w:rsidP="00000000" w:rsidRDefault="00000000" w:rsidRPr="00000000" w14:paraId="0000001F">
      <w:pPr>
        <w:spacing w:after="240" w:before="240" w:line="276" w:lineRule="auto"/>
        <w:jc w:val="both"/>
        <w:rPr>
          <w:highlight w:val="white"/>
        </w:rPr>
      </w:pPr>
      <w:r w:rsidDel="00000000" w:rsidR="00000000" w:rsidRPr="00000000">
        <w:rPr>
          <w:highlight w:val="white"/>
          <w:rtl w:val="0"/>
        </w:rPr>
        <w:t xml:space="preserve">—-------------------------------------------------------------------------------------------------------------------------</w:t>
      </w:r>
    </w:p>
    <w:p w:rsidR="00000000" w:rsidDel="00000000" w:rsidP="00000000" w:rsidRDefault="00000000" w:rsidRPr="00000000" w14:paraId="00000020">
      <w:pPr>
        <w:spacing w:after="160" w:line="259" w:lineRule="auto"/>
        <w:jc w:val="both"/>
        <w:rPr>
          <w:b w:val="1"/>
        </w:rPr>
      </w:pPr>
      <w:r w:rsidDel="00000000" w:rsidR="00000000" w:rsidRPr="00000000">
        <w:rPr>
          <w:b w:val="1"/>
          <w:rtl w:val="0"/>
        </w:rPr>
        <w:t xml:space="preserve">Complément, atelier / table ronde : </w:t>
      </w:r>
    </w:p>
    <w:p w:rsidR="00000000" w:rsidDel="00000000" w:rsidP="00000000" w:rsidRDefault="00000000" w:rsidRPr="00000000" w14:paraId="00000021">
      <w:pPr>
        <w:spacing w:after="160" w:line="259" w:lineRule="auto"/>
        <w:jc w:val="both"/>
        <w:rPr>
          <w:b w:val="1"/>
        </w:rPr>
      </w:pPr>
      <w:r w:rsidDel="00000000" w:rsidR="00000000" w:rsidRPr="00000000">
        <w:rPr>
          <w:b w:val="1"/>
          <w:rtl w:val="0"/>
        </w:rPr>
        <w:t xml:space="preserve">La recherche action participative : un espace de formation des citoyens</w:t>
      </w:r>
    </w:p>
    <w:p w:rsidR="00000000" w:rsidDel="00000000" w:rsidP="00000000" w:rsidRDefault="00000000" w:rsidRPr="00000000" w14:paraId="00000022">
      <w:pPr>
        <w:spacing w:after="160" w:line="259" w:lineRule="auto"/>
        <w:jc w:val="both"/>
        <w:rPr/>
      </w:pPr>
      <w:r w:rsidDel="00000000" w:rsidR="00000000" w:rsidRPr="00000000">
        <w:rPr>
          <w:rtl w:val="0"/>
        </w:rPr>
        <w:t xml:space="preserve">Les changements de comportements sont au cœur des problématiques des psychosociologues. Comment influencer nos concitoyens sans les contraindre ni les manipuler ? </w:t>
      </w:r>
    </w:p>
    <w:p w:rsidR="00000000" w:rsidDel="00000000" w:rsidP="00000000" w:rsidRDefault="00000000" w:rsidRPr="00000000" w14:paraId="00000023">
      <w:pPr>
        <w:spacing w:after="160" w:line="259" w:lineRule="auto"/>
        <w:jc w:val="both"/>
        <w:rPr/>
      </w:pPr>
      <w:r w:rsidDel="00000000" w:rsidR="00000000" w:rsidRPr="00000000">
        <w:rPr>
          <w:rtl w:val="0"/>
        </w:rPr>
        <w:t xml:space="preserve">Kurt Lewin (1947) considérait la recherche action comme l’outil privilégié du scientifique impliqué dans sa vie de citoyen par l’objet qu’il étudiait. Ses travaux ont montré leur validité tant par leur consistance scientifique que par leur impact sur les habitudes alimentaires des familles américaines en plein effort de guerre. La recherche action participative (PAR) est apparue avec les préoccupations éthiques dans la recherche en sciences humaines (Reason et Bradbury, 2007). C’est un processus par lequel chercheurs et participants décident conjointement des objectifs et des méthodes ; ils contribuent aussi au recueil et à l’analyse des données.</w:t>
      </w:r>
    </w:p>
    <w:p w:rsidR="00000000" w:rsidDel="00000000" w:rsidP="00000000" w:rsidRDefault="00000000" w:rsidRPr="00000000" w14:paraId="00000024">
      <w:pPr>
        <w:spacing w:after="160" w:line="259" w:lineRule="auto"/>
        <w:jc w:val="both"/>
        <w:rPr/>
      </w:pPr>
      <w:r w:rsidDel="00000000" w:rsidR="00000000" w:rsidRPr="00000000">
        <w:rPr>
          <w:rtl w:val="0"/>
        </w:rPr>
        <w:t xml:space="preserve">Le développement durable, la lutte contre le changement climatique nécessitent d’importantes modifications de nos comportements quotidiens. Comment impliquer nos concitoyens dans la recherche pour instaurer ces changements de façon démocratique tout en gardant la valeur scientifique de nos travaux ?</w:t>
      </w:r>
    </w:p>
    <w:p w:rsidR="00000000" w:rsidDel="00000000" w:rsidP="00000000" w:rsidRDefault="00000000" w:rsidRPr="00000000" w14:paraId="00000025">
      <w:pPr>
        <w:spacing w:after="80" w:before="280" w:line="276" w:lineRule="auto"/>
        <w:jc w:val="both"/>
        <w:rPr>
          <w:b w:val="1"/>
          <w:sz w:val="26"/>
          <w:szCs w:val="26"/>
        </w:rPr>
      </w:pPr>
      <w:bookmarkStart w:colFirst="0" w:colLast="0" w:name="_2et92p0" w:id="5"/>
      <w:bookmarkEnd w:id="5"/>
      <w:r w:rsidDel="00000000" w:rsidR="00000000" w:rsidRPr="00000000">
        <w:rPr>
          <w:b w:val="1"/>
          <w:sz w:val="26"/>
          <w:szCs w:val="26"/>
          <w:rtl w:val="0"/>
        </w:rPr>
        <w:t xml:space="preserve">Soumission des propositions</w:t>
      </w:r>
    </w:p>
    <w:p w:rsidR="00000000" w:rsidDel="00000000" w:rsidP="00000000" w:rsidRDefault="00000000" w:rsidRPr="00000000" w14:paraId="00000026">
      <w:pPr>
        <w:spacing w:after="240" w:before="240" w:line="276" w:lineRule="auto"/>
        <w:jc w:val="both"/>
        <w:rPr/>
      </w:pPr>
      <w:r w:rsidDel="00000000" w:rsidR="00000000" w:rsidRPr="00000000">
        <w:rPr>
          <w:rtl w:val="0"/>
        </w:rPr>
        <w:t xml:space="preserve">Les propositions de communication devront comprendre :</w:t>
      </w:r>
    </w:p>
    <w:p w:rsidR="00000000" w:rsidDel="00000000" w:rsidP="00000000" w:rsidRDefault="00000000" w:rsidRPr="00000000" w14:paraId="00000027">
      <w:pPr>
        <w:numPr>
          <w:ilvl w:val="0"/>
          <w:numId w:val="3"/>
        </w:numPr>
        <w:spacing w:before="240" w:line="276" w:lineRule="auto"/>
        <w:ind w:left="720" w:hanging="360"/>
        <w:jc w:val="both"/>
      </w:pPr>
      <w:r w:rsidDel="00000000" w:rsidR="00000000" w:rsidRPr="00000000">
        <w:rPr>
          <w:rtl w:val="0"/>
        </w:rPr>
        <w:t xml:space="preserve">Un titre provisoire, en précisant l’axe choisi (Axe 1 ou Axe 2)</w:t>
      </w:r>
    </w:p>
    <w:p w:rsidR="00000000" w:rsidDel="00000000" w:rsidP="00000000" w:rsidRDefault="00000000" w:rsidRPr="00000000" w14:paraId="00000028">
      <w:pPr>
        <w:numPr>
          <w:ilvl w:val="0"/>
          <w:numId w:val="3"/>
        </w:numPr>
        <w:spacing w:line="276" w:lineRule="auto"/>
        <w:ind w:left="720" w:hanging="360"/>
        <w:jc w:val="both"/>
      </w:pPr>
      <w:r w:rsidDel="00000000" w:rsidR="00000000" w:rsidRPr="00000000">
        <w:rPr>
          <w:rtl w:val="0"/>
        </w:rPr>
        <w:t xml:space="preserve">Un résumé (300 mots maximum), dont la problématique abordée, cinq mots-clés </w:t>
      </w:r>
    </w:p>
    <w:p w:rsidR="00000000" w:rsidDel="00000000" w:rsidP="00000000" w:rsidRDefault="00000000" w:rsidRPr="00000000" w14:paraId="00000029">
      <w:pPr>
        <w:numPr>
          <w:ilvl w:val="0"/>
          <w:numId w:val="3"/>
        </w:numPr>
        <w:spacing w:after="240" w:line="276" w:lineRule="auto"/>
        <w:ind w:left="720" w:hanging="360"/>
        <w:jc w:val="both"/>
      </w:pPr>
      <w:r w:rsidDel="00000000" w:rsidR="00000000" w:rsidRPr="00000000">
        <w:rPr>
          <w:rtl w:val="0"/>
        </w:rPr>
        <w:t xml:space="preserve">Une courte biographie du ou des auteur(s) </w:t>
      </w:r>
    </w:p>
    <w:p w:rsidR="00000000" w:rsidDel="00000000" w:rsidP="00000000" w:rsidRDefault="00000000" w:rsidRPr="00000000" w14:paraId="0000002A">
      <w:pPr>
        <w:spacing w:after="240" w:before="240" w:line="276" w:lineRule="auto"/>
        <w:jc w:val="both"/>
        <w:rPr/>
      </w:pPr>
      <w:r w:rsidDel="00000000" w:rsidR="00000000" w:rsidRPr="00000000">
        <w:rPr>
          <w:rtl w:val="0"/>
        </w:rPr>
        <w:t xml:space="preserve">Les propositions sont à envoyer à  </w:t>
      </w:r>
      <w:hyperlink r:id="rId6">
        <w:r w:rsidDel="00000000" w:rsidR="00000000" w:rsidRPr="00000000">
          <w:rPr>
            <w:rFonts w:ascii="Roboto" w:cs="Roboto" w:eastAsia="Roboto" w:hAnsi="Roboto"/>
            <w:color w:val="1155cc"/>
            <w:sz w:val="21"/>
            <w:szCs w:val="21"/>
            <w:u w:val="single"/>
            <w:rtl w:val="0"/>
          </w:rPr>
          <w:t xml:space="preserve">democracyanduniversity@gmail.com</w:t>
        </w:r>
      </w:hyperlink>
      <w:r w:rsidDel="00000000" w:rsidR="00000000" w:rsidRPr="00000000">
        <w:rPr>
          <w:rFonts w:ascii="Roboto" w:cs="Roboto" w:eastAsia="Roboto" w:hAnsi="Roboto"/>
          <w:sz w:val="21"/>
          <w:szCs w:val="21"/>
          <w:rtl w:val="0"/>
        </w:rPr>
        <w:t xml:space="preserve">  </w:t>
      </w:r>
      <w:r w:rsidDel="00000000" w:rsidR="00000000" w:rsidRPr="00000000">
        <w:rPr>
          <w:rtl w:val="0"/>
        </w:rPr>
      </w:r>
    </w:p>
    <w:p w:rsidR="00000000" w:rsidDel="00000000" w:rsidP="00000000" w:rsidRDefault="00000000" w:rsidRPr="00000000" w14:paraId="0000002B">
      <w:pPr>
        <w:spacing w:after="240" w:before="240" w:line="276" w:lineRule="auto"/>
        <w:jc w:val="both"/>
        <w:rPr/>
      </w:pPr>
      <w:r w:rsidDel="00000000" w:rsidR="00000000" w:rsidRPr="00000000">
        <w:rPr>
          <w:b w:val="1"/>
          <w:rtl w:val="0"/>
        </w:rPr>
        <w:t xml:space="preserve">Calendrier</w:t>
      </w:r>
      <w:r w:rsidDel="00000000" w:rsidR="00000000" w:rsidRPr="00000000">
        <w:rPr>
          <w:rtl w:val="0"/>
        </w:rPr>
        <w:t xml:space="preserve"> :</w:t>
      </w:r>
    </w:p>
    <w:p w:rsidR="00000000" w:rsidDel="00000000" w:rsidP="00000000" w:rsidRDefault="00000000" w:rsidRPr="00000000" w14:paraId="0000002C">
      <w:pPr>
        <w:numPr>
          <w:ilvl w:val="0"/>
          <w:numId w:val="1"/>
        </w:numPr>
        <w:spacing w:before="240" w:line="276" w:lineRule="auto"/>
        <w:ind w:left="720" w:hanging="360"/>
        <w:jc w:val="both"/>
      </w:pPr>
      <w:r w:rsidDel="00000000" w:rsidR="00000000" w:rsidRPr="00000000">
        <w:rPr>
          <w:rtl w:val="0"/>
        </w:rPr>
        <w:t xml:space="preserve">Date limite de soumission : </w:t>
      </w:r>
      <w:r w:rsidDel="00000000" w:rsidR="00000000" w:rsidRPr="00000000">
        <w:rPr>
          <w:b w:val="1"/>
          <w:rtl w:val="0"/>
        </w:rPr>
        <w:t xml:space="preserve">25 juillet 2025</w:t>
      </w:r>
      <w:r w:rsidDel="00000000" w:rsidR="00000000" w:rsidRPr="00000000">
        <w:rPr>
          <w:rtl w:val="0"/>
        </w:rPr>
      </w:r>
    </w:p>
    <w:p w:rsidR="00000000" w:rsidDel="00000000" w:rsidP="00000000" w:rsidRDefault="00000000" w:rsidRPr="00000000" w14:paraId="0000002D">
      <w:pPr>
        <w:numPr>
          <w:ilvl w:val="0"/>
          <w:numId w:val="1"/>
        </w:numPr>
        <w:spacing w:line="276" w:lineRule="auto"/>
        <w:ind w:left="720" w:hanging="360"/>
        <w:jc w:val="both"/>
      </w:pPr>
      <w:r w:rsidDel="00000000" w:rsidR="00000000" w:rsidRPr="00000000">
        <w:rPr>
          <w:rtl w:val="0"/>
        </w:rPr>
        <w:t xml:space="preserve">Notification d’acceptation : </w:t>
      </w:r>
      <w:r w:rsidDel="00000000" w:rsidR="00000000" w:rsidRPr="00000000">
        <w:rPr>
          <w:b w:val="1"/>
          <w:rtl w:val="0"/>
        </w:rPr>
        <w:t xml:space="preserve">08 août 2025</w:t>
      </w:r>
      <w:r w:rsidDel="00000000" w:rsidR="00000000" w:rsidRPr="00000000">
        <w:rPr>
          <w:rtl w:val="0"/>
        </w:rPr>
      </w:r>
    </w:p>
    <w:p w:rsidR="00000000" w:rsidDel="00000000" w:rsidP="00000000" w:rsidRDefault="00000000" w:rsidRPr="00000000" w14:paraId="0000002E">
      <w:pPr>
        <w:numPr>
          <w:ilvl w:val="0"/>
          <w:numId w:val="1"/>
        </w:numPr>
        <w:spacing w:after="240" w:line="276" w:lineRule="auto"/>
        <w:ind w:left="720" w:hanging="360"/>
        <w:jc w:val="both"/>
      </w:pPr>
      <w:r w:rsidDel="00000000" w:rsidR="00000000" w:rsidRPr="00000000">
        <w:rPr>
          <w:rtl w:val="0"/>
        </w:rPr>
        <w:t xml:space="preserve">Colloque : </w:t>
      </w:r>
      <w:r w:rsidDel="00000000" w:rsidR="00000000" w:rsidRPr="00000000">
        <w:rPr>
          <w:b w:val="1"/>
          <w:rtl w:val="0"/>
        </w:rPr>
        <w:t xml:space="preserve">9 - 10 octobre 2025</w:t>
      </w:r>
      <w:r w:rsidDel="00000000" w:rsidR="00000000" w:rsidRPr="00000000">
        <w:rPr>
          <w:rtl w:val="0"/>
        </w:rPr>
      </w:r>
    </w:p>
    <w:p w:rsidR="00000000" w:rsidDel="00000000" w:rsidP="00000000" w:rsidRDefault="00000000" w:rsidRPr="00000000" w14:paraId="0000002F">
      <w:pPr>
        <w:spacing w:after="240" w:before="240" w:line="276" w:lineRule="auto"/>
        <w:jc w:val="both"/>
        <w:rPr/>
      </w:pPr>
      <w:r w:rsidDel="00000000" w:rsidR="00000000" w:rsidRPr="00000000">
        <w:rPr>
          <w:rtl w:val="0"/>
        </w:rPr>
        <w:t xml:space="preserve">Pour toute question, merci de contacter </w:t>
      </w:r>
      <w:r w:rsidDel="00000000" w:rsidR="00000000" w:rsidRPr="00000000">
        <w:rPr>
          <w:b w:val="1"/>
          <w:rtl w:val="0"/>
        </w:rPr>
        <w:t xml:space="preserve">Christèle Le Bihan-Colleran </w:t>
      </w:r>
      <w:r w:rsidDel="00000000" w:rsidR="00000000" w:rsidRPr="00000000">
        <w:rPr>
          <w:rtl w:val="0"/>
        </w:rPr>
        <w:t xml:space="preserve">et </w:t>
      </w:r>
      <w:r w:rsidDel="00000000" w:rsidR="00000000" w:rsidRPr="00000000">
        <w:rPr>
          <w:b w:val="1"/>
          <w:rtl w:val="0"/>
        </w:rPr>
        <w:t xml:space="preserve">Rodolphe Pauvert</w:t>
      </w:r>
      <w:r w:rsidDel="00000000" w:rsidR="00000000" w:rsidRPr="00000000">
        <w:rPr>
          <w:rtl w:val="0"/>
        </w:rPr>
        <w:t xml:space="preserve"> à l’adresse suivante : </w:t>
      </w:r>
      <w:hyperlink r:id="rId7">
        <w:r w:rsidDel="00000000" w:rsidR="00000000" w:rsidRPr="00000000">
          <w:rPr>
            <w:rFonts w:ascii="Roboto" w:cs="Roboto" w:eastAsia="Roboto" w:hAnsi="Roboto"/>
            <w:color w:val="1155cc"/>
            <w:sz w:val="21"/>
            <w:szCs w:val="21"/>
            <w:u w:val="single"/>
            <w:rtl w:val="0"/>
          </w:rPr>
          <w:t xml:space="preserve">democracyanduniversity@gmail.com</w:t>
        </w:r>
      </w:hyperlink>
      <w:r w:rsidDel="00000000" w:rsidR="00000000" w:rsidRPr="00000000">
        <w:rPr>
          <w:rFonts w:ascii="Roboto" w:cs="Roboto" w:eastAsia="Roboto" w:hAnsi="Roboto"/>
          <w:sz w:val="21"/>
          <w:szCs w:val="21"/>
          <w:rtl w:val="0"/>
        </w:rPr>
        <w:t xml:space="preserve"> </w:t>
      </w:r>
      <w:r w:rsidDel="00000000" w:rsidR="00000000" w:rsidRPr="00000000">
        <w:rPr>
          <w:rtl w:val="0"/>
        </w:rPr>
      </w:r>
    </w:p>
    <w:p w:rsidR="00000000" w:rsidDel="00000000" w:rsidP="00000000" w:rsidRDefault="00000000" w:rsidRPr="00000000" w14:paraId="00000030">
      <w:pPr>
        <w:spacing w:after="240" w:before="240" w:line="276" w:lineRule="auto"/>
        <w:jc w:val="both"/>
        <w:rPr>
          <w:color w:val="ff0000"/>
        </w:rPr>
      </w:pPr>
      <w:r w:rsidDel="00000000" w:rsidR="00000000" w:rsidRPr="00000000">
        <w:rPr>
          <w:rtl w:val="0"/>
        </w:rPr>
      </w:r>
    </w:p>
    <w:p w:rsidR="00000000" w:rsidDel="00000000" w:rsidP="00000000" w:rsidRDefault="00000000" w:rsidRPr="00000000" w14:paraId="00000031">
      <w:pPr>
        <w:spacing w:line="276" w:lineRule="auto"/>
        <w:jc w:val="both"/>
        <w:rPr>
          <w:b w:val="1"/>
        </w:rPr>
      </w:pPr>
      <w:r w:rsidDel="00000000" w:rsidR="00000000" w:rsidRPr="00000000">
        <w:rPr>
          <w:rtl w:val="0"/>
        </w:rPr>
        <w:t xml:space="preserve"> </w:t>
      </w:r>
      <w:r w:rsidDel="00000000" w:rsidR="00000000" w:rsidRPr="00000000">
        <w:rPr>
          <w:b w:val="1"/>
          <w:rtl w:val="0"/>
        </w:rPr>
        <w:t xml:space="preserve">Bibliographie indicative</w:t>
      </w:r>
    </w:p>
    <w:p w:rsidR="00000000" w:rsidDel="00000000" w:rsidP="00000000" w:rsidRDefault="00000000" w:rsidRPr="00000000" w14:paraId="00000032">
      <w:pPr>
        <w:spacing w:line="276" w:lineRule="auto"/>
        <w:jc w:val="both"/>
        <w:rPr/>
      </w:pPr>
      <w:r w:rsidDel="00000000" w:rsidR="00000000" w:rsidRPr="00000000">
        <w:rPr>
          <w:rtl w:val="0"/>
        </w:rPr>
      </w:r>
    </w:p>
    <w:p w:rsidR="00000000" w:rsidDel="00000000" w:rsidP="00000000" w:rsidRDefault="00000000" w:rsidRPr="00000000" w14:paraId="00000033">
      <w:pPr>
        <w:spacing w:line="276" w:lineRule="auto"/>
        <w:jc w:val="both"/>
        <w:rPr/>
      </w:pPr>
      <w:r w:rsidDel="00000000" w:rsidR="00000000" w:rsidRPr="00000000">
        <w:rPr>
          <w:rtl w:val="0"/>
        </w:rPr>
      </w:r>
    </w:p>
    <w:p w:rsidR="00000000" w:rsidDel="00000000" w:rsidP="00000000" w:rsidRDefault="00000000" w:rsidRPr="00000000" w14:paraId="00000034">
      <w:pPr>
        <w:spacing w:after="240" w:line="259" w:lineRule="auto"/>
        <w:rPr>
          <w:rFonts w:ascii="Aptos" w:cs="Aptos" w:eastAsia="Aptos" w:hAnsi="Aptos"/>
          <w:color w:val="1155cc"/>
          <w:u w:val="single"/>
        </w:rPr>
      </w:pPr>
      <w:r w:rsidDel="00000000" w:rsidR="00000000" w:rsidRPr="00000000">
        <w:rPr>
          <w:rFonts w:ascii="Aptos" w:cs="Aptos" w:eastAsia="Aptos" w:hAnsi="Aptos"/>
          <w:rtl w:val="0"/>
        </w:rPr>
        <w:t xml:space="preserve">Azzolina, L., Biagiotti, A., &amp; Guarascio, C. (2024). Does the Equal Opportunities Committee make democracy work (better) in academia? </w:t>
      </w:r>
      <w:r w:rsidDel="00000000" w:rsidR="00000000" w:rsidRPr="00000000">
        <w:rPr>
          <w:rFonts w:ascii="Aptos" w:cs="Aptos" w:eastAsia="Aptos" w:hAnsi="Aptos"/>
          <w:i w:val="1"/>
          <w:rtl w:val="0"/>
        </w:rPr>
        <w:t xml:space="preserve">Studi Organizzativi</w:t>
      </w:r>
      <w:r w:rsidDel="00000000" w:rsidR="00000000" w:rsidRPr="00000000">
        <w:rPr>
          <w:rFonts w:ascii="Aptos" w:cs="Aptos" w:eastAsia="Aptos" w:hAnsi="Aptos"/>
          <w:rtl w:val="0"/>
        </w:rPr>
        <w:t xml:space="preserve">, </w:t>
      </w:r>
      <w:r w:rsidDel="00000000" w:rsidR="00000000" w:rsidRPr="00000000">
        <w:rPr>
          <w:rFonts w:ascii="Aptos" w:cs="Aptos" w:eastAsia="Aptos" w:hAnsi="Aptos"/>
          <w:i w:val="1"/>
          <w:rtl w:val="0"/>
        </w:rPr>
        <w:t xml:space="preserve">2023</w:t>
      </w:r>
      <w:r w:rsidDel="00000000" w:rsidR="00000000" w:rsidRPr="00000000">
        <w:rPr>
          <w:rFonts w:ascii="Aptos" w:cs="Aptos" w:eastAsia="Aptos" w:hAnsi="Aptos"/>
          <w:rtl w:val="0"/>
        </w:rPr>
        <w:t xml:space="preserve">(2), 137–161.</w:t>
      </w:r>
      <w:hyperlink r:id="rId8">
        <w:r w:rsidDel="00000000" w:rsidR="00000000" w:rsidRPr="00000000">
          <w:rPr>
            <w:rFonts w:ascii="Aptos" w:cs="Aptos" w:eastAsia="Aptos" w:hAnsi="Aptos"/>
            <w:rtl w:val="0"/>
          </w:rPr>
          <w:t xml:space="preserve"> </w:t>
        </w:r>
      </w:hyperlink>
      <w:hyperlink r:id="rId9">
        <w:r w:rsidDel="00000000" w:rsidR="00000000" w:rsidRPr="00000000">
          <w:rPr>
            <w:rFonts w:ascii="Aptos" w:cs="Aptos" w:eastAsia="Aptos" w:hAnsi="Aptos"/>
            <w:color w:val="1155cc"/>
            <w:u w:val="single"/>
            <w:rtl w:val="0"/>
          </w:rPr>
          <w:t xml:space="preserve">https://doi.org/10.3280/SO2023-002006</w:t>
        </w:r>
      </w:hyperlink>
      <w:r w:rsidDel="00000000" w:rsidR="00000000" w:rsidRPr="00000000">
        <w:rPr>
          <w:rtl w:val="0"/>
        </w:rPr>
      </w:r>
    </w:p>
    <w:p w:rsidR="00000000" w:rsidDel="00000000" w:rsidP="00000000" w:rsidRDefault="00000000" w:rsidRPr="00000000" w14:paraId="00000035">
      <w:pPr>
        <w:spacing w:after="240" w:before="240" w:line="259" w:lineRule="auto"/>
        <w:rPr>
          <w:rFonts w:ascii="Aptos" w:cs="Aptos" w:eastAsia="Aptos" w:hAnsi="Aptos"/>
        </w:rPr>
      </w:pPr>
      <w:r w:rsidDel="00000000" w:rsidR="00000000" w:rsidRPr="00000000">
        <w:rPr>
          <w:rFonts w:ascii="Aptos" w:cs="Aptos" w:eastAsia="Aptos" w:hAnsi="Aptos"/>
          <w:rtl w:val="0"/>
        </w:rPr>
        <w:t xml:space="preserve">Beaud, O. (2021). </w:t>
      </w:r>
      <w:r w:rsidDel="00000000" w:rsidR="00000000" w:rsidRPr="00000000">
        <w:rPr>
          <w:rFonts w:ascii="Aptos" w:cs="Aptos" w:eastAsia="Aptos" w:hAnsi="Aptos"/>
          <w:i w:val="1"/>
          <w:rtl w:val="0"/>
        </w:rPr>
        <w:t xml:space="preserve">Le savoir en danger</w:t>
      </w:r>
      <w:r w:rsidDel="00000000" w:rsidR="00000000" w:rsidRPr="00000000">
        <w:rPr>
          <w:rFonts w:ascii="Aptos" w:cs="Aptos" w:eastAsia="Aptos" w:hAnsi="Aptos"/>
          <w:rtl w:val="0"/>
        </w:rPr>
        <w:t xml:space="preserve">. Presses Universitaires de France.</w:t>
      </w:r>
    </w:p>
    <w:p w:rsidR="00000000" w:rsidDel="00000000" w:rsidP="00000000" w:rsidRDefault="00000000" w:rsidRPr="00000000" w14:paraId="00000036">
      <w:pPr>
        <w:spacing w:after="240" w:before="240" w:line="259" w:lineRule="auto"/>
        <w:rPr>
          <w:rFonts w:ascii="Aptos" w:cs="Aptos" w:eastAsia="Aptos" w:hAnsi="Aptos"/>
          <w:color w:val="1155cc"/>
          <w:u w:val="single"/>
        </w:rPr>
      </w:pPr>
      <w:r w:rsidDel="00000000" w:rsidR="00000000" w:rsidRPr="00000000">
        <w:rPr>
          <w:rFonts w:ascii="Aptos" w:cs="Aptos" w:eastAsia="Aptos" w:hAnsi="Aptos"/>
          <w:rtl w:val="0"/>
        </w:rPr>
        <w:t xml:space="preserve">Cain, T. R. (2012). Conclusion. In </w:t>
      </w:r>
      <w:r w:rsidDel="00000000" w:rsidR="00000000" w:rsidRPr="00000000">
        <w:rPr>
          <w:rFonts w:ascii="Aptos" w:cs="Aptos" w:eastAsia="Aptos" w:hAnsi="Aptos"/>
          <w:i w:val="1"/>
          <w:rtl w:val="0"/>
        </w:rPr>
        <w:t xml:space="preserve">Establishing academic freedom. Higher education and society</w:t>
      </w:r>
      <w:r w:rsidDel="00000000" w:rsidR="00000000" w:rsidRPr="00000000">
        <w:rPr>
          <w:rFonts w:ascii="Aptos" w:cs="Aptos" w:eastAsia="Aptos" w:hAnsi="Aptos"/>
          <w:rtl w:val="0"/>
        </w:rPr>
        <w:t xml:space="preserve">. Palgrave Macmillan.</w:t>
      </w:r>
      <w:hyperlink r:id="rId10">
        <w:r w:rsidDel="00000000" w:rsidR="00000000" w:rsidRPr="00000000">
          <w:rPr>
            <w:rFonts w:ascii="Aptos" w:cs="Aptos" w:eastAsia="Aptos" w:hAnsi="Aptos"/>
            <w:rtl w:val="0"/>
          </w:rPr>
          <w:t xml:space="preserve"> </w:t>
        </w:r>
      </w:hyperlink>
      <w:hyperlink r:id="rId11">
        <w:r w:rsidDel="00000000" w:rsidR="00000000" w:rsidRPr="00000000">
          <w:rPr>
            <w:rFonts w:ascii="Aptos" w:cs="Aptos" w:eastAsia="Aptos" w:hAnsi="Aptos"/>
            <w:color w:val="1155cc"/>
            <w:u w:val="single"/>
            <w:rtl w:val="0"/>
          </w:rPr>
          <w:t xml:space="preserve">https://doi.org/10.1057/9781137009548_8</w:t>
        </w:r>
      </w:hyperlink>
      <w:r w:rsidDel="00000000" w:rsidR="00000000" w:rsidRPr="00000000">
        <w:rPr>
          <w:rtl w:val="0"/>
        </w:rPr>
      </w:r>
    </w:p>
    <w:p w:rsidR="00000000" w:rsidDel="00000000" w:rsidP="00000000" w:rsidRDefault="00000000" w:rsidRPr="00000000" w14:paraId="00000037">
      <w:pPr>
        <w:spacing w:after="240" w:before="240" w:line="259" w:lineRule="auto"/>
        <w:rPr>
          <w:rFonts w:ascii="Aptos" w:cs="Aptos" w:eastAsia="Aptos" w:hAnsi="Aptos"/>
          <w:color w:val="1155cc"/>
          <w:u w:val="single"/>
        </w:rPr>
      </w:pPr>
      <w:r w:rsidDel="00000000" w:rsidR="00000000" w:rsidRPr="00000000">
        <w:rPr>
          <w:rFonts w:ascii="Aptos" w:cs="Aptos" w:eastAsia="Aptos" w:hAnsi="Aptos"/>
          <w:rtl w:val="0"/>
        </w:rPr>
        <w:t xml:space="preserve">Casa-Nova, M. J. (2019). Universities ‘inside’ the world: Multiscale engagement levels. In </w:t>
      </w:r>
      <w:r w:rsidDel="00000000" w:rsidR="00000000" w:rsidRPr="00000000">
        <w:rPr>
          <w:rFonts w:ascii="Aptos" w:cs="Aptos" w:eastAsia="Aptos" w:hAnsi="Aptos"/>
          <w:i w:val="1"/>
          <w:rtl w:val="0"/>
        </w:rPr>
        <w:t xml:space="preserve">Higher education and the future of radical pedagogy</w:t>
      </w:r>
      <w:r w:rsidDel="00000000" w:rsidR="00000000" w:rsidRPr="00000000">
        <w:rPr>
          <w:rFonts w:ascii="Aptos" w:cs="Aptos" w:eastAsia="Aptos" w:hAnsi="Aptos"/>
          <w:rtl w:val="0"/>
        </w:rPr>
        <w:t xml:space="preserve"> (pp. 25–38). Palgrave Macmillan.</w:t>
      </w:r>
      <w:hyperlink r:id="rId12">
        <w:r w:rsidDel="00000000" w:rsidR="00000000" w:rsidRPr="00000000">
          <w:rPr>
            <w:rFonts w:ascii="Aptos" w:cs="Aptos" w:eastAsia="Aptos" w:hAnsi="Aptos"/>
            <w:rtl w:val="0"/>
          </w:rPr>
          <w:t xml:space="preserve"> </w:t>
        </w:r>
      </w:hyperlink>
      <w:hyperlink r:id="rId13">
        <w:r w:rsidDel="00000000" w:rsidR="00000000" w:rsidRPr="00000000">
          <w:rPr>
            <w:rFonts w:ascii="Aptos" w:cs="Aptos" w:eastAsia="Aptos" w:hAnsi="Aptos"/>
            <w:color w:val="1155cc"/>
            <w:u w:val="single"/>
            <w:rtl w:val="0"/>
          </w:rPr>
          <w:t xml:space="preserve">https://doi.org/10.1007/978-3-030-25041-6_2</w:t>
        </w:r>
      </w:hyperlink>
      <w:r w:rsidDel="00000000" w:rsidR="00000000" w:rsidRPr="00000000">
        <w:rPr>
          <w:rtl w:val="0"/>
        </w:rPr>
      </w:r>
    </w:p>
    <w:p w:rsidR="00000000" w:rsidDel="00000000" w:rsidP="00000000" w:rsidRDefault="00000000" w:rsidRPr="00000000" w14:paraId="00000038">
      <w:pPr>
        <w:spacing w:after="240" w:before="240" w:line="259" w:lineRule="auto"/>
        <w:rPr>
          <w:rFonts w:ascii="Aptos" w:cs="Aptos" w:eastAsia="Aptos" w:hAnsi="Aptos"/>
          <w:color w:val="1155cc"/>
          <w:u w:val="single"/>
        </w:rPr>
      </w:pPr>
      <w:r w:rsidDel="00000000" w:rsidR="00000000" w:rsidRPr="00000000">
        <w:rPr>
          <w:rFonts w:ascii="Aptos" w:cs="Aptos" w:eastAsia="Aptos" w:hAnsi="Aptos"/>
          <w:rtl w:val="0"/>
        </w:rPr>
        <w:t xml:space="preserve">Claassen, R., &amp; Düwell, M. (2015). The triple democratic deficit in university governance. </w:t>
      </w:r>
      <w:r w:rsidDel="00000000" w:rsidR="00000000" w:rsidRPr="00000000">
        <w:rPr>
          <w:rFonts w:ascii="Aptos" w:cs="Aptos" w:eastAsia="Aptos" w:hAnsi="Aptos"/>
          <w:i w:val="1"/>
          <w:rtl w:val="0"/>
        </w:rPr>
        <w:t xml:space="preserve">Krisis: Journal for Contemporary Philosophy</w:t>
      </w:r>
      <w:r w:rsidDel="00000000" w:rsidR="00000000" w:rsidRPr="00000000">
        <w:rPr>
          <w:rFonts w:ascii="Aptos" w:cs="Aptos" w:eastAsia="Aptos" w:hAnsi="Aptos"/>
          <w:rtl w:val="0"/>
        </w:rPr>
        <w:t xml:space="preserve">, </w:t>
      </w:r>
      <w:r w:rsidDel="00000000" w:rsidR="00000000" w:rsidRPr="00000000">
        <w:rPr>
          <w:rFonts w:ascii="Aptos" w:cs="Aptos" w:eastAsia="Aptos" w:hAnsi="Aptos"/>
          <w:i w:val="1"/>
          <w:rtl w:val="0"/>
        </w:rPr>
        <w:t xml:space="preserve">43</w:t>
      </w:r>
      <w:r w:rsidDel="00000000" w:rsidR="00000000" w:rsidRPr="00000000">
        <w:rPr>
          <w:rFonts w:ascii="Aptos" w:cs="Aptos" w:eastAsia="Aptos" w:hAnsi="Aptos"/>
          <w:rtl w:val="0"/>
        </w:rPr>
        <w:t xml:space="preserve">(2), Perspectives for the New University.</w:t>
      </w:r>
      <w:hyperlink r:id="rId14">
        <w:r w:rsidDel="00000000" w:rsidR="00000000" w:rsidRPr="00000000">
          <w:rPr>
            <w:rFonts w:ascii="Aptos" w:cs="Aptos" w:eastAsia="Aptos" w:hAnsi="Aptos"/>
            <w:rtl w:val="0"/>
          </w:rPr>
          <w:t xml:space="preserve"> </w:t>
        </w:r>
      </w:hyperlink>
      <w:hyperlink r:id="rId15">
        <w:r w:rsidDel="00000000" w:rsidR="00000000" w:rsidRPr="00000000">
          <w:rPr>
            <w:rFonts w:ascii="Aptos" w:cs="Aptos" w:eastAsia="Aptos" w:hAnsi="Aptos"/>
            <w:color w:val="1155cc"/>
            <w:u w:val="single"/>
            <w:rtl w:val="0"/>
          </w:rPr>
          <w:t xml:space="preserve">https://www.academia.edu/15367495/The_Triple_Democratic_Deficit_in_University_Governance</w:t>
        </w:r>
      </w:hyperlink>
      <w:r w:rsidDel="00000000" w:rsidR="00000000" w:rsidRPr="00000000">
        <w:rPr>
          <w:rtl w:val="0"/>
        </w:rPr>
      </w:r>
    </w:p>
    <w:p w:rsidR="00000000" w:rsidDel="00000000" w:rsidP="00000000" w:rsidRDefault="00000000" w:rsidRPr="00000000" w14:paraId="00000039">
      <w:pPr>
        <w:spacing w:after="240" w:before="240" w:line="259" w:lineRule="auto"/>
        <w:rPr>
          <w:rFonts w:ascii="Aptos" w:cs="Aptos" w:eastAsia="Aptos" w:hAnsi="Aptos"/>
          <w:color w:val="1155cc"/>
          <w:u w:val="single"/>
        </w:rPr>
      </w:pPr>
      <w:r w:rsidDel="00000000" w:rsidR="00000000" w:rsidRPr="00000000">
        <w:rPr>
          <w:rFonts w:ascii="Aptos" w:cs="Aptos" w:eastAsia="Aptos" w:hAnsi="Aptos"/>
          <w:rtl w:val="0"/>
        </w:rPr>
        <w:t xml:space="preserve">Cornelius-Bell, A. (2021). </w:t>
      </w:r>
      <w:r w:rsidDel="00000000" w:rsidR="00000000" w:rsidRPr="00000000">
        <w:rPr>
          <w:rFonts w:ascii="Aptos" w:cs="Aptos" w:eastAsia="Aptos" w:hAnsi="Aptos"/>
          <w:i w:val="1"/>
          <w:rtl w:val="0"/>
        </w:rPr>
        <w:t xml:space="preserve">Student activism in higher education: The politics of students’ role in hegemonic university change</w:t>
      </w:r>
      <w:r w:rsidDel="00000000" w:rsidR="00000000" w:rsidRPr="00000000">
        <w:rPr>
          <w:rFonts w:ascii="Aptos" w:cs="Aptos" w:eastAsia="Aptos" w:hAnsi="Aptos"/>
          <w:rtl w:val="0"/>
        </w:rPr>
        <w:t xml:space="preserve"> (Doctoral dissertation, Flinders University). Flinders University.</w:t>
      </w:r>
      <w:hyperlink r:id="rId16">
        <w:r w:rsidDel="00000000" w:rsidR="00000000" w:rsidRPr="00000000">
          <w:rPr>
            <w:rFonts w:ascii="Aptos" w:cs="Aptos" w:eastAsia="Aptos" w:hAnsi="Aptos"/>
            <w:rtl w:val="0"/>
          </w:rPr>
          <w:t xml:space="preserve"> </w:t>
        </w:r>
      </w:hyperlink>
      <w:hyperlink r:id="rId17">
        <w:r w:rsidDel="00000000" w:rsidR="00000000" w:rsidRPr="00000000">
          <w:rPr>
            <w:rFonts w:ascii="Aptos" w:cs="Aptos" w:eastAsia="Aptos" w:hAnsi="Aptos"/>
            <w:color w:val="1155cc"/>
            <w:u w:val="single"/>
            <w:rtl w:val="0"/>
          </w:rPr>
          <w:t xml:space="preserve">https://doi.org/10.31237/osf.io/veq5a</w:t>
        </w:r>
      </w:hyperlink>
      <w:r w:rsidDel="00000000" w:rsidR="00000000" w:rsidRPr="00000000">
        <w:rPr>
          <w:rtl w:val="0"/>
        </w:rPr>
      </w:r>
    </w:p>
    <w:p w:rsidR="00000000" w:rsidDel="00000000" w:rsidP="00000000" w:rsidRDefault="00000000" w:rsidRPr="00000000" w14:paraId="0000003A">
      <w:pPr>
        <w:spacing w:after="240" w:before="240" w:line="259" w:lineRule="auto"/>
        <w:rPr>
          <w:rFonts w:ascii="Aptos" w:cs="Aptos" w:eastAsia="Aptos" w:hAnsi="Aptos"/>
          <w:color w:val="1155cc"/>
          <w:u w:val="single"/>
        </w:rPr>
      </w:pPr>
      <w:r w:rsidDel="00000000" w:rsidR="00000000" w:rsidRPr="00000000">
        <w:rPr>
          <w:rFonts w:ascii="Aptos" w:cs="Aptos" w:eastAsia="Aptos" w:hAnsi="Aptos"/>
          <w:rtl w:val="0"/>
        </w:rPr>
        <w:t xml:space="preserve">Dienes, Z. (2023). The credibility crisis and democratic governance: How to reform university governance to be compatible with the nature of science. </w:t>
      </w:r>
      <w:r w:rsidDel="00000000" w:rsidR="00000000" w:rsidRPr="00000000">
        <w:rPr>
          <w:rFonts w:ascii="Aptos" w:cs="Aptos" w:eastAsia="Aptos" w:hAnsi="Aptos"/>
          <w:i w:val="1"/>
          <w:rtl w:val="0"/>
        </w:rPr>
        <w:t xml:space="preserve">Royal Society Open Science</w:t>
      </w:r>
      <w:r w:rsidDel="00000000" w:rsidR="00000000" w:rsidRPr="00000000">
        <w:rPr>
          <w:rFonts w:ascii="Aptos" w:cs="Aptos" w:eastAsia="Aptos" w:hAnsi="Aptos"/>
          <w:rtl w:val="0"/>
        </w:rPr>
        <w:t xml:space="preserve">, </w:t>
      </w:r>
      <w:r w:rsidDel="00000000" w:rsidR="00000000" w:rsidRPr="00000000">
        <w:rPr>
          <w:rFonts w:ascii="Aptos" w:cs="Aptos" w:eastAsia="Aptos" w:hAnsi="Aptos"/>
          <w:i w:val="1"/>
          <w:rtl w:val="0"/>
        </w:rPr>
        <w:t xml:space="preserve">10</w:t>
      </w:r>
      <w:r w:rsidDel="00000000" w:rsidR="00000000" w:rsidRPr="00000000">
        <w:rPr>
          <w:rFonts w:ascii="Aptos" w:cs="Aptos" w:eastAsia="Aptos" w:hAnsi="Aptos"/>
          <w:rtl w:val="0"/>
        </w:rPr>
        <w:t xml:space="preserve">(2), 220808.</w:t>
      </w:r>
      <w:hyperlink r:id="rId18">
        <w:r w:rsidDel="00000000" w:rsidR="00000000" w:rsidRPr="00000000">
          <w:rPr>
            <w:rFonts w:ascii="Aptos" w:cs="Aptos" w:eastAsia="Aptos" w:hAnsi="Aptos"/>
            <w:rtl w:val="0"/>
          </w:rPr>
          <w:t xml:space="preserve"> </w:t>
        </w:r>
      </w:hyperlink>
      <w:hyperlink r:id="rId19">
        <w:r w:rsidDel="00000000" w:rsidR="00000000" w:rsidRPr="00000000">
          <w:rPr>
            <w:rFonts w:ascii="Aptos" w:cs="Aptos" w:eastAsia="Aptos" w:hAnsi="Aptos"/>
            <w:color w:val="1155cc"/>
            <w:u w:val="single"/>
            <w:rtl w:val="0"/>
          </w:rPr>
          <w:t xml:space="preserve">https://doi.org/10.1098/rsos.220808</w:t>
        </w:r>
      </w:hyperlink>
      <w:r w:rsidDel="00000000" w:rsidR="00000000" w:rsidRPr="00000000">
        <w:rPr>
          <w:rtl w:val="0"/>
        </w:rPr>
      </w:r>
    </w:p>
    <w:p w:rsidR="00000000" w:rsidDel="00000000" w:rsidP="00000000" w:rsidRDefault="00000000" w:rsidRPr="00000000" w14:paraId="0000003B">
      <w:pPr>
        <w:spacing w:after="240" w:before="240" w:line="259" w:lineRule="auto"/>
        <w:rPr>
          <w:rFonts w:ascii="Aptos" w:cs="Aptos" w:eastAsia="Aptos" w:hAnsi="Aptos"/>
          <w:color w:val="1155cc"/>
          <w:u w:val="single"/>
        </w:rPr>
      </w:pPr>
      <w:r w:rsidDel="00000000" w:rsidR="00000000" w:rsidRPr="00000000">
        <w:rPr>
          <w:rFonts w:ascii="Aptos" w:cs="Aptos" w:eastAsia="Aptos" w:hAnsi="Aptos"/>
          <w:rtl w:val="0"/>
        </w:rPr>
        <w:t xml:space="preserve">Fernandes, C. (2022, January 11). Jusqu’où peut-on invoquer la liberté académique ? </w:t>
      </w:r>
      <w:r w:rsidDel="00000000" w:rsidR="00000000" w:rsidRPr="00000000">
        <w:rPr>
          <w:rFonts w:ascii="Aptos" w:cs="Aptos" w:eastAsia="Aptos" w:hAnsi="Aptos"/>
          <w:i w:val="1"/>
          <w:rtl w:val="0"/>
        </w:rPr>
        <w:t xml:space="preserve">The Conversation</w:t>
      </w:r>
      <w:r w:rsidDel="00000000" w:rsidR="00000000" w:rsidRPr="00000000">
        <w:rPr>
          <w:rFonts w:ascii="Aptos" w:cs="Aptos" w:eastAsia="Aptos" w:hAnsi="Aptos"/>
          <w:rtl w:val="0"/>
        </w:rPr>
        <w:t xml:space="preserve">.</w:t>
      </w:r>
      <w:hyperlink r:id="rId20">
        <w:r w:rsidDel="00000000" w:rsidR="00000000" w:rsidRPr="00000000">
          <w:rPr>
            <w:rFonts w:ascii="Aptos" w:cs="Aptos" w:eastAsia="Aptos" w:hAnsi="Aptos"/>
            <w:rtl w:val="0"/>
          </w:rPr>
          <w:t xml:space="preserve"> </w:t>
        </w:r>
      </w:hyperlink>
      <w:hyperlink r:id="rId21">
        <w:r w:rsidDel="00000000" w:rsidR="00000000" w:rsidRPr="00000000">
          <w:rPr>
            <w:rFonts w:ascii="Aptos" w:cs="Aptos" w:eastAsia="Aptos" w:hAnsi="Aptos"/>
            <w:color w:val="1155cc"/>
            <w:u w:val="single"/>
            <w:rtl w:val="0"/>
          </w:rPr>
          <w:t xml:space="preserve">https://theconversation.com/jusquou-peut-on-invoquer-la-liberte-academique-174623</w:t>
        </w:r>
      </w:hyperlink>
      <w:r w:rsidDel="00000000" w:rsidR="00000000" w:rsidRPr="00000000">
        <w:rPr>
          <w:rtl w:val="0"/>
        </w:rPr>
      </w:r>
    </w:p>
    <w:p w:rsidR="00000000" w:rsidDel="00000000" w:rsidP="00000000" w:rsidRDefault="00000000" w:rsidRPr="00000000" w14:paraId="0000003C">
      <w:pPr>
        <w:spacing w:after="240" w:before="240" w:line="259" w:lineRule="auto"/>
        <w:rPr>
          <w:rFonts w:ascii="Aptos" w:cs="Aptos" w:eastAsia="Aptos" w:hAnsi="Aptos"/>
          <w:color w:val="1155cc"/>
          <w:u w:val="single"/>
        </w:rPr>
      </w:pPr>
      <w:r w:rsidDel="00000000" w:rsidR="00000000" w:rsidRPr="00000000">
        <w:rPr>
          <w:rFonts w:ascii="Aptos" w:cs="Aptos" w:eastAsia="Aptos" w:hAnsi="Aptos"/>
          <w:rtl w:val="0"/>
        </w:rPr>
        <w:t xml:space="preserve">Freeman, R. (2023, June 1). University freedom of speech champion says ‘democracy at stake’. </w:t>
      </w:r>
      <w:r w:rsidDel="00000000" w:rsidR="00000000" w:rsidRPr="00000000">
        <w:rPr>
          <w:rFonts w:ascii="Aptos" w:cs="Aptos" w:eastAsia="Aptos" w:hAnsi="Aptos"/>
          <w:i w:val="1"/>
          <w:rtl w:val="0"/>
        </w:rPr>
        <w:t xml:space="preserve">The Independent</w:t>
      </w:r>
      <w:r w:rsidDel="00000000" w:rsidR="00000000" w:rsidRPr="00000000">
        <w:rPr>
          <w:rFonts w:ascii="Aptos" w:cs="Aptos" w:eastAsia="Aptos" w:hAnsi="Aptos"/>
          <w:rtl w:val="0"/>
        </w:rPr>
        <w:t xml:space="preserve">.</w:t>
      </w:r>
      <w:hyperlink r:id="rId22">
        <w:r w:rsidDel="00000000" w:rsidR="00000000" w:rsidRPr="00000000">
          <w:rPr>
            <w:rFonts w:ascii="Aptos" w:cs="Aptos" w:eastAsia="Aptos" w:hAnsi="Aptos"/>
            <w:rtl w:val="0"/>
          </w:rPr>
          <w:t xml:space="preserve"> </w:t>
        </w:r>
      </w:hyperlink>
      <w:hyperlink r:id="rId23">
        <w:r w:rsidDel="00000000" w:rsidR="00000000" w:rsidRPr="00000000">
          <w:rPr>
            <w:rFonts w:ascii="Aptos" w:cs="Aptos" w:eastAsia="Aptos" w:hAnsi="Aptos"/>
            <w:color w:val="1155cc"/>
            <w:u w:val="single"/>
            <w:rtl w:val="0"/>
          </w:rPr>
          <w:t xml:space="preserve">https://www.independent.co.uk/news/uk/university-government-oxford-union-universities-cambridge-b2349339.html</w:t>
        </w:r>
      </w:hyperlink>
      <w:r w:rsidDel="00000000" w:rsidR="00000000" w:rsidRPr="00000000">
        <w:rPr>
          <w:rtl w:val="0"/>
        </w:rPr>
      </w:r>
    </w:p>
    <w:p w:rsidR="00000000" w:rsidDel="00000000" w:rsidP="00000000" w:rsidRDefault="00000000" w:rsidRPr="00000000" w14:paraId="0000003D">
      <w:pPr>
        <w:spacing w:after="240" w:before="240" w:line="259" w:lineRule="auto"/>
        <w:rPr>
          <w:rFonts w:ascii="Aptos" w:cs="Aptos" w:eastAsia="Aptos" w:hAnsi="Aptos"/>
          <w:color w:val="1155cc"/>
          <w:u w:val="single"/>
        </w:rPr>
      </w:pPr>
      <w:r w:rsidDel="00000000" w:rsidR="00000000" w:rsidRPr="00000000">
        <w:rPr>
          <w:rFonts w:ascii="Aptos" w:cs="Aptos" w:eastAsia="Aptos" w:hAnsi="Aptos"/>
          <w:rtl w:val="0"/>
        </w:rPr>
        <w:t xml:space="preserve">Hernández Ortiz, J. (2017). Hacia un nuevo perfil del docente universitario con base en los derechos humanos. </w:t>
      </w:r>
      <w:r w:rsidDel="00000000" w:rsidR="00000000" w:rsidRPr="00000000">
        <w:rPr>
          <w:rFonts w:ascii="Aptos" w:cs="Aptos" w:eastAsia="Aptos" w:hAnsi="Aptos"/>
          <w:i w:val="1"/>
          <w:rtl w:val="0"/>
        </w:rPr>
        <w:t xml:space="preserve">Revista Latinoamericana de Derechos Humanos</w:t>
      </w:r>
      <w:r w:rsidDel="00000000" w:rsidR="00000000" w:rsidRPr="00000000">
        <w:rPr>
          <w:rFonts w:ascii="Aptos" w:cs="Aptos" w:eastAsia="Aptos" w:hAnsi="Aptos"/>
          <w:rtl w:val="0"/>
        </w:rPr>
        <w:t xml:space="preserve">, </w:t>
      </w:r>
      <w:r w:rsidDel="00000000" w:rsidR="00000000" w:rsidRPr="00000000">
        <w:rPr>
          <w:rFonts w:ascii="Aptos" w:cs="Aptos" w:eastAsia="Aptos" w:hAnsi="Aptos"/>
          <w:i w:val="1"/>
          <w:rtl w:val="0"/>
        </w:rPr>
        <w:t xml:space="preserve">8</w:t>
      </w:r>
      <w:r w:rsidDel="00000000" w:rsidR="00000000" w:rsidRPr="00000000">
        <w:rPr>
          <w:rFonts w:ascii="Aptos" w:cs="Aptos" w:eastAsia="Aptos" w:hAnsi="Aptos"/>
          <w:rtl w:val="0"/>
        </w:rPr>
        <w:t xml:space="preserve">(14).</w:t>
      </w:r>
      <w:hyperlink r:id="rId24">
        <w:r w:rsidDel="00000000" w:rsidR="00000000" w:rsidRPr="00000000">
          <w:rPr>
            <w:rFonts w:ascii="Aptos" w:cs="Aptos" w:eastAsia="Aptos" w:hAnsi="Aptos"/>
            <w:rtl w:val="0"/>
          </w:rPr>
          <w:t xml:space="preserve"> </w:t>
        </w:r>
      </w:hyperlink>
      <w:hyperlink r:id="rId25">
        <w:r w:rsidDel="00000000" w:rsidR="00000000" w:rsidRPr="00000000">
          <w:rPr>
            <w:rFonts w:ascii="Aptos" w:cs="Aptos" w:eastAsia="Aptos" w:hAnsi="Aptos"/>
            <w:color w:val="1155cc"/>
            <w:u w:val="single"/>
            <w:rtl w:val="0"/>
          </w:rPr>
          <w:t xml:space="preserve">https://doi.org/10.32870/dse.v0i14.211</w:t>
        </w:r>
      </w:hyperlink>
      <w:r w:rsidDel="00000000" w:rsidR="00000000" w:rsidRPr="00000000">
        <w:rPr>
          <w:rtl w:val="0"/>
        </w:rPr>
      </w:r>
    </w:p>
    <w:p w:rsidR="00000000" w:rsidDel="00000000" w:rsidP="00000000" w:rsidRDefault="00000000" w:rsidRPr="00000000" w14:paraId="0000003E">
      <w:pPr>
        <w:spacing w:after="240" w:before="240" w:line="259" w:lineRule="auto"/>
        <w:rPr>
          <w:rFonts w:ascii="Aptos" w:cs="Aptos" w:eastAsia="Aptos" w:hAnsi="Aptos"/>
          <w:color w:val="1155cc"/>
          <w:u w:val="single"/>
        </w:rPr>
      </w:pPr>
      <w:r w:rsidDel="00000000" w:rsidR="00000000" w:rsidRPr="00000000">
        <w:rPr>
          <w:rFonts w:ascii="Aptos" w:cs="Aptos" w:eastAsia="Aptos" w:hAnsi="Aptos"/>
          <w:rtl w:val="0"/>
        </w:rPr>
        <w:t xml:space="preserve">Hertting, N., &amp; Klijn, E.-H. (2018). Institutionalization of local participatory governance in France, the Netherlands, and Sweden: Three arguments reconsidered. In </w:t>
      </w:r>
      <w:r w:rsidDel="00000000" w:rsidR="00000000" w:rsidRPr="00000000">
        <w:rPr>
          <w:rFonts w:ascii="Aptos" w:cs="Aptos" w:eastAsia="Aptos" w:hAnsi="Aptos"/>
          <w:i w:val="1"/>
          <w:rtl w:val="0"/>
        </w:rPr>
        <w:t xml:space="preserve">Local participatory governance and representative democracy</w:t>
      </w:r>
      <w:r w:rsidDel="00000000" w:rsidR="00000000" w:rsidRPr="00000000">
        <w:rPr>
          <w:rFonts w:ascii="Aptos" w:cs="Aptos" w:eastAsia="Aptos" w:hAnsi="Aptos"/>
          <w:rtl w:val="0"/>
        </w:rPr>
        <w:t xml:space="preserve"> (1st ed., pp. 27–47). Routledge.</w:t>
      </w:r>
      <w:hyperlink r:id="rId26">
        <w:r w:rsidDel="00000000" w:rsidR="00000000" w:rsidRPr="00000000">
          <w:rPr>
            <w:rFonts w:ascii="Aptos" w:cs="Aptos" w:eastAsia="Aptos" w:hAnsi="Aptos"/>
            <w:rtl w:val="0"/>
          </w:rPr>
          <w:t xml:space="preserve"> </w:t>
        </w:r>
      </w:hyperlink>
      <w:hyperlink r:id="rId27">
        <w:r w:rsidDel="00000000" w:rsidR="00000000" w:rsidRPr="00000000">
          <w:rPr>
            <w:rFonts w:ascii="Aptos" w:cs="Aptos" w:eastAsia="Aptos" w:hAnsi="Aptos"/>
            <w:color w:val="1155cc"/>
            <w:u w:val="single"/>
            <w:rtl w:val="0"/>
          </w:rPr>
          <w:t xml:space="preserve">https://doi.org/10.4324/9781315471174-7</w:t>
        </w:r>
      </w:hyperlink>
      <w:r w:rsidDel="00000000" w:rsidR="00000000" w:rsidRPr="00000000">
        <w:rPr>
          <w:rtl w:val="0"/>
        </w:rPr>
      </w:r>
    </w:p>
    <w:p w:rsidR="00000000" w:rsidDel="00000000" w:rsidP="00000000" w:rsidRDefault="00000000" w:rsidRPr="00000000" w14:paraId="0000003F">
      <w:pPr>
        <w:spacing w:after="240" w:before="240" w:line="259" w:lineRule="auto"/>
        <w:rPr>
          <w:rFonts w:ascii="Aptos" w:cs="Aptos" w:eastAsia="Aptos" w:hAnsi="Aptos"/>
        </w:rPr>
      </w:pPr>
      <w:r w:rsidDel="00000000" w:rsidR="00000000" w:rsidRPr="00000000">
        <w:rPr>
          <w:rFonts w:ascii="Aptos" w:cs="Aptos" w:eastAsia="Aptos" w:hAnsi="Aptos"/>
          <w:rtl w:val="0"/>
        </w:rPr>
        <w:t xml:space="preserve">Lassarre, D. (2010). Développement durable et recherche action participative. In K. Weiss &amp; F. Girandola (Eds.), </w:t>
      </w:r>
      <w:r w:rsidDel="00000000" w:rsidR="00000000" w:rsidRPr="00000000">
        <w:rPr>
          <w:rFonts w:ascii="Aptos" w:cs="Aptos" w:eastAsia="Aptos" w:hAnsi="Aptos"/>
          <w:i w:val="1"/>
          <w:rtl w:val="0"/>
        </w:rPr>
        <w:t xml:space="preserve">Psychologie et développement durable</w:t>
      </w:r>
      <w:r w:rsidDel="00000000" w:rsidR="00000000" w:rsidRPr="00000000">
        <w:rPr>
          <w:rFonts w:ascii="Aptos" w:cs="Aptos" w:eastAsia="Aptos" w:hAnsi="Aptos"/>
          <w:rtl w:val="0"/>
        </w:rPr>
        <w:t xml:space="preserve"> (pp. 199–219). INPRESS.</w:t>
      </w:r>
    </w:p>
    <w:p w:rsidR="00000000" w:rsidDel="00000000" w:rsidP="00000000" w:rsidRDefault="00000000" w:rsidRPr="00000000" w14:paraId="00000040">
      <w:pPr>
        <w:spacing w:after="240" w:before="240" w:line="259" w:lineRule="auto"/>
        <w:rPr>
          <w:rFonts w:ascii="Aptos" w:cs="Aptos" w:eastAsia="Aptos" w:hAnsi="Aptos"/>
        </w:rPr>
      </w:pPr>
      <w:r w:rsidDel="00000000" w:rsidR="00000000" w:rsidRPr="00000000">
        <w:rPr>
          <w:rFonts w:ascii="Aptos" w:cs="Aptos" w:eastAsia="Aptos" w:hAnsi="Aptos"/>
          <w:rtl w:val="0"/>
        </w:rPr>
        <w:t xml:space="preserve">Lewin, K. (1947). Group decision and social change. In M. Newcomb &amp; E. L. Hartley (Eds.), </w:t>
      </w:r>
      <w:r w:rsidDel="00000000" w:rsidR="00000000" w:rsidRPr="00000000">
        <w:rPr>
          <w:rFonts w:ascii="Aptos" w:cs="Aptos" w:eastAsia="Aptos" w:hAnsi="Aptos"/>
          <w:i w:val="1"/>
          <w:rtl w:val="0"/>
        </w:rPr>
        <w:t xml:space="preserve">Readings in social psychology</w:t>
      </w:r>
      <w:r w:rsidDel="00000000" w:rsidR="00000000" w:rsidRPr="00000000">
        <w:rPr>
          <w:rFonts w:ascii="Aptos" w:cs="Aptos" w:eastAsia="Aptos" w:hAnsi="Aptos"/>
          <w:rtl w:val="0"/>
        </w:rPr>
        <w:t xml:space="preserve"> (pp. 197–211). Holt, Rinehart &amp; Winston.</w:t>
      </w:r>
    </w:p>
    <w:p w:rsidR="00000000" w:rsidDel="00000000" w:rsidP="00000000" w:rsidRDefault="00000000" w:rsidRPr="00000000" w14:paraId="00000041">
      <w:pPr>
        <w:spacing w:after="240" w:before="240" w:line="259" w:lineRule="auto"/>
        <w:rPr>
          <w:rFonts w:ascii="Aptos" w:cs="Aptos" w:eastAsia="Aptos" w:hAnsi="Aptos"/>
          <w:color w:val="1155cc"/>
          <w:u w:val="single"/>
        </w:rPr>
      </w:pPr>
      <w:r w:rsidDel="00000000" w:rsidR="00000000" w:rsidRPr="00000000">
        <w:rPr>
          <w:rFonts w:ascii="Aptos" w:cs="Aptos" w:eastAsia="Aptos" w:hAnsi="Aptos"/>
          <w:rtl w:val="0"/>
        </w:rPr>
        <w:t xml:space="preserve">Lieberwitz, R. L. (2014). Higher education and social policy: The case of the United States. In T. Dereli, Y. Soykut-Sarica, &amp; A. Şen-Taşbaşi (Eds.), </w:t>
      </w:r>
      <w:r w:rsidDel="00000000" w:rsidR="00000000" w:rsidRPr="00000000">
        <w:rPr>
          <w:rFonts w:ascii="Aptos" w:cs="Aptos" w:eastAsia="Aptos" w:hAnsi="Aptos"/>
          <w:i w:val="1"/>
          <w:rtl w:val="0"/>
        </w:rPr>
        <w:t xml:space="preserve">Labor and employment relations in a globalized world</w:t>
      </w:r>
      <w:r w:rsidDel="00000000" w:rsidR="00000000" w:rsidRPr="00000000">
        <w:rPr>
          <w:rFonts w:ascii="Aptos" w:cs="Aptos" w:eastAsia="Aptos" w:hAnsi="Aptos"/>
          <w:rtl w:val="0"/>
        </w:rPr>
        <w:t xml:space="preserve"> (pp. 57–75). Springer.</w:t>
      </w:r>
      <w:hyperlink r:id="rId28">
        <w:r w:rsidDel="00000000" w:rsidR="00000000" w:rsidRPr="00000000">
          <w:rPr>
            <w:rFonts w:ascii="Aptos" w:cs="Aptos" w:eastAsia="Aptos" w:hAnsi="Aptos"/>
            <w:rtl w:val="0"/>
          </w:rPr>
          <w:t xml:space="preserve"> </w:t>
        </w:r>
      </w:hyperlink>
      <w:hyperlink r:id="rId29">
        <w:r w:rsidDel="00000000" w:rsidR="00000000" w:rsidRPr="00000000">
          <w:rPr>
            <w:rFonts w:ascii="Aptos" w:cs="Aptos" w:eastAsia="Aptos" w:hAnsi="Aptos"/>
            <w:color w:val="1155cc"/>
            <w:u w:val="single"/>
            <w:rtl w:val="0"/>
          </w:rPr>
          <w:t xml:space="preserve">https://doi.org/10.1007/978-3-319-04349-4_5</w:t>
        </w:r>
      </w:hyperlink>
      <w:r w:rsidDel="00000000" w:rsidR="00000000" w:rsidRPr="00000000">
        <w:rPr>
          <w:rtl w:val="0"/>
        </w:rPr>
      </w:r>
    </w:p>
    <w:p w:rsidR="00000000" w:rsidDel="00000000" w:rsidP="00000000" w:rsidRDefault="00000000" w:rsidRPr="00000000" w14:paraId="00000042">
      <w:pPr>
        <w:spacing w:after="240" w:before="240" w:line="259" w:lineRule="auto"/>
        <w:rPr>
          <w:rFonts w:ascii="Aptos" w:cs="Aptos" w:eastAsia="Aptos" w:hAnsi="Aptos"/>
          <w:color w:val="1155cc"/>
          <w:u w:val="single"/>
        </w:rPr>
      </w:pPr>
      <w:r w:rsidDel="00000000" w:rsidR="00000000" w:rsidRPr="00000000">
        <w:rPr>
          <w:rFonts w:ascii="Aptos" w:cs="Aptos" w:eastAsia="Aptos" w:hAnsi="Aptos"/>
          <w:rtl w:val="0"/>
        </w:rPr>
        <w:t xml:space="preserve">Missé, B. (2021). A matter of academic freedom. In K. R. Roth &amp; Z. S. Ritter (Eds.), </w:t>
      </w:r>
      <w:r w:rsidDel="00000000" w:rsidR="00000000" w:rsidRPr="00000000">
        <w:rPr>
          <w:rFonts w:ascii="Aptos" w:cs="Aptos" w:eastAsia="Aptos" w:hAnsi="Aptos"/>
          <w:i w:val="1"/>
          <w:rtl w:val="0"/>
        </w:rPr>
        <w:t xml:space="preserve">Whiteness, power, and resisting change in US higher education</w:t>
      </w:r>
      <w:r w:rsidDel="00000000" w:rsidR="00000000" w:rsidRPr="00000000">
        <w:rPr>
          <w:rFonts w:ascii="Aptos" w:cs="Aptos" w:eastAsia="Aptos" w:hAnsi="Aptos"/>
          <w:rtl w:val="0"/>
        </w:rPr>
        <w:t xml:space="preserve"> (pp. 113–129). Palgrave Macmillan.</w:t>
      </w:r>
      <w:hyperlink r:id="rId30">
        <w:r w:rsidDel="00000000" w:rsidR="00000000" w:rsidRPr="00000000">
          <w:rPr>
            <w:rFonts w:ascii="Aptos" w:cs="Aptos" w:eastAsia="Aptos" w:hAnsi="Aptos"/>
            <w:rtl w:val="0"/>
          </w:rPr>
          <w:t xml:space="preserve"> </w:t>
        </w:r>
      </w:hyperlink>
      <w:hyperlink r:id="rId31">
        <w:r w:rsidDel="00000000" w:rsidR="00000000" w:rsidRPr="00000000">
          <w:rPr>
            <w:rFonts w:ascii="Aptos" w:cs="Aptos" w:eastAsia="Aptos" w:hAnsi="Aptos"/>
            <w:color w:val="1155cc"/>
            <w:u w:val="single"/>
            <w:rtl w:val="0"/>
          </w:rPr>
          <w:t xml:space="preserve">https://doi.org/10.1007/978-3-030-57292-1_7</w:t>
        </w:r>
      </w:hyperlink>
      <w:r w:rsidDel="00000000" w:rsidR="00000000" w:rsidRPr="00000000">
        <w:rPr>
          <w:rtl w:val="0"/>
        </w:rPr>
      </w:r>
    </w:p>
    <w:p w:rsidR="00000000" w:rsidDel="00000000" w:rsidP="00000000" w:rsidRDefault="00000000" w:rsidRPr="00000000" w14:paraId="00000043">
      <w:pPr>
        <w:spacing w:after="240" w:before="240" w:line="259" w:lineRule="auto"/>
        <w:rPr>
          <w:rFonts w:ascii="Aptos" w:cs="Aptos" w:eastAsia="Aptos" w:hAnsi="Aptos"/>
          <w:color w:val="1155cc"/>
          <w:u w:val="single"/>
        </w:rPr>
      </w:pPr>
      <w:r w:rsidDel="00000000" w:rsidR="00000000" w:rsidRPr="00000000">
        <w:rPr>
          <w:rFonts w:ascii="Aptos" w:cs="Aptos" w:eastAsia="Aptos" w:hAnsi="Aptos"/>
          <w:rtl w:val="0"/>
        </w:rPr>
        <w:t xml:space="preserve">Moraru, L. (2012). Academic internal stakeholder condition: A comparative approach. </w:t>
      </w:r>
      <w:r w:rsidDel="00000000" w:rsidR="00000000" w:rsidRPr="00000000">
        <w:rPr>
          <w:rFonts w:ascii="Aptos" w:cs="Aptos" w:eastAsia="Aptos" w:hAnsi="Aptos"/>
          <w:i w:val="1"/>
          <w:rtl w:val="0"/>
        </w:rPr>
        <w:t xml:space="preserve">Procedia - Social and Behavioral Sciences</w:t>
      </w:r>
      <w:r w:rsidDel="00000000" w:rsidR="00000000" w:rsidRPr="00000000">
        <w:rPr>
          <w:rFonts w:ascii="Aptos" w:cs="Aptos" w:eastAsia="Aptos" w:hAnsi="Aptos"/>
          <w:rtl w:val="0"/>
        </w:rPr>
        <w:t xml:space="preserve">, </w:t>
      </w:r>
      <w:r w:rsidDel="00000000" w:rsidR="00000000" w:rsidRPr="00000000">
        <w:rPr>
          <w:rFonts w:ascii="Aptos" w:cs="Aptos" w:eastAsia="Aptos" w:hAnsi="Aptos"/>
          <w:i w:val="1"/>
          <w:rtl w:val="0"/>
        </w:rPr>
        <w:t xml:space="preserve">69</w:t>
      </w:r>
      <w:r w:rsidDel="00000000" w:rsidR="00000000" w:rsidRPr="00000000">
        <w:rPr>
          <w:rFonts w:ascii="Aptos" w:cs="Aptos" w:eastAsia="Aptos" w:hAnsi="Aptos"/>
          <w:rtl w:val="0"/>
        </w:rPr>
        <w:t xml:space="preserve">, 54–72.</w:t>
      </w:r>
      <w:hyperlink r:id="rId32">
        <w:r w:rsidDel="00000000" w:rsidR="00000000" w:rsidRPr="00000000">
          <w:rPr>
            <w:rFonts w:ascii="Aptos" w:cs="Aptos" w:eastAsia="Aptos" w:hAnsi="Aptos"/>
            <w:rtl w:val="0"/>
          </w:rPr>
          <w:t xml:space="preserve"> </w:t>
        </w:r>
      </w:hyperlink>
      <w:hyperlink r:id="rId33">
        <w:r w:rsidDel="00000000" w:rsidR="00000000" w:rsidRPr="00000000">
          <w:rPr>
            <w:rFonts w:ascii="Aptos" w:cs="Aptos" w:eastAsia="Aptos" w:hAnsi="Aptos"/>
            <w:color w:val="1155cc"/>
            <w:u w:val="single"/>
            <w:rtl w:val="0"/>
          </w:rPr>
          <w:t xml:space="preserve">https://doi.org/10.1016/j.sbspro.2012.11.383</w:t>
        </w:r>
      </w:hyperlink>
      <w:r w:rsidDel="00000000" w:rsidR="00000000" w:rsidRPr="00000000">
        <w:rPr>
          <w:rtl w:val="0"/>
        </w:rPr>
      </w:r>
    </w:p>
    <w:p w:rsidR="00000000" w:rsidDel="00000000" w:rsidP="00000000" w:rsidRDefault="00000000" w:rsidRPr="00000000" w14:paraId="00000044">
      <w:pPr>
        <w:spacing w:after="240" w:before="240" w:line="259" w:lineRule="auto"/>
        <w:rPr>
          <w:rFonts w:ascii="Aptos" w:cs="Aptos" w:eastAsia="Aptos" w:hAnsi="Aptos"/>
          <w:color w:val="1155cc"/>
          <w:u w:val="single"/>
        </w:rPr>
      </w:pPr>
      <w:r w:rsidDel="00000000" w:rsidR="00000000" w:rsidRPr="00000000">
        <w:rPr>
          <w:rFonts w:ascii="Aptos" w:cs="Aptos" w:eastAsia="Aptos" w:hAnsi="Aptos"/>
          <w:rtl w:val="0"/>
        </w:rPr>
        <w:t xml:space="preserve">Mugo, S., &amp; Puplampu, K. P. (2022). Beyond tokenism and objectivity: Theoretical reflections on a transformative equity, diversity, and inclusion agenda for higher education in Canada. </w:t>
      </w:r>
      <w:r w:rsidDel="00000000" w:rsidR="00000000" w:rsidRPr="00000000">
        <w:rPr>
          <w:rFonts w:ascii="Aptos" w:cs="Aptos" w:eastAsia="Aptos" w:hAnsi="Aptos"/>
          <w:i w:val="1"/>
          <w:rtl w:val="0"/>
        </w:rPr>
        <w:t xml:space="preserve">SN Social Sciences</w:t>
      </w:r>
      <w:r w:rsidDel="00000000" w:rsidR="00000000" w:rsidRPr="00000000">
        <w:rPr>
          <w:rFonts w:ascii="Aptos" w:cs="Aptos" w:eastAsia="Aptos" w:hAnsi="Aptos"/>
          <w:rtl w:val="0"/>
        </w:rPr>
        <w:t xml:space="preserve">, </w:t>
      </w:r>
      <w:r w:rsidDel="00000000" w:rsidR="00000000" w:rsidRPr="00000000">
        <w:rPr>
          <w:rFonts w:ascii="Aptos" w:cs="Aptos" w:eastAsia="Aptos" w:hAnsi="Aptos"/>
          <w:i w:val="1"/>
          <w:rtl w:val="0"/>
        </w:rPr>
        <w:t xml:space="preserve">2</w:t>
      </w:r>
      <w:r w:rsidDel="00000000" w:rsidR="00000000" w:rsidRPr="00000000">
        <w:rPr>
          <w:rFonts w:ascii="Aptos" w:cs="Aptos" w:eastAsia="Aptos" w:hAnsi="Aptos"/>
          <w:rtl w:val="0"/>
        </w:rPr>
        <w:t xml:space="preserve">, 209.</w:t>
      </w:r>
      <w:hyperlink r:id="rId34">
        <w:r w:rsidDel="00000000" w:rsidR="00000000" w:rsidRPr="00000000">
          <w:rPr>
            <w:rFonts w:ascii="Aptos" w:cs="Aptos" w:eastAsia="Aptos" w:hAnsi="Aptos"/>
            <w:rtl w:val="0"/>
          </w:rPr>
          <w:t xml:space="preserve"> </w:t>
        </w:r>
      </w:hyperlink>
      <w:hyperlink r:id="rId35">
        <w:r w:rsidDel="00000000" w:rsidR="00000000" w:rsidRPr="00000000">
          <w:rPr>
            <w:rFonts w:ascii="Aptos" w:cs="Aptos" w:eastAsia="Aptos" w:hAnsi="Aptos"/>
            <w:color w:val="1155cc"/>
            <w:u w:val="single"/>
            <w:rtl w:val="0"/>
          </w:rPr>
          <w:t xml:space="preserve">https://doi.org/10.1007/s43545-022-00509-2</w:t>
        </w:r>
      </w:hyperlink>
      <w:r w:rsidDel="00000000" w:rsidR="00000000" w:rsidRPr="00000000">
        <w:rPr>
          <w:rtl w:val="0"/>
        </w:rPr>
      </w:r>
    </w:p>
    <w:p w:rsidR="00000000" w:rsidDel="00000000" w:rsidP="00000000" w:rsidRDefault="00000000" w:rsidRPr="00000000" w14:paraId="00000045">
      <w:pPr>
        <w:spacing w:after="240" w:before="240" w:line="259" w:lineRule="auto"/>
        <w:rPr>
          <w:rFonts w:ascii="Aptos" w:cs="Aptos" w:eastAsia="Aptos" w:hAnsi="Aptos"/>
          <w:color w:val="1155cc"/>
          <w:u w:val="single"/>
        </w:rPr>
      </w:pPr>
      <w:r w:rsidDel="00000000" w:rsidR="00000000" w:rsidRPr="00000000">
        <w:rPr>
          <w:rFonts w:ascii="Aptos" w:cs="Aptos" w:eastAsia="Aptos" w:hAnsi="Aptos"/>
          <w:rtl w:val="0"/>
        </w:rPr>
        <w:t xml:space="preserve">Musselin, C. (2014). Empowerment of French universities by funding and evaluation agencies. In R. Whitley &amp; J. Gläser (Eds.), </w:t>
      </w:r>
      <w:r w:rsidDel="00000000" w:rsidR="00000000" w:rsidRPr="00000000">
        <w:rPr>
          <w:rFonts w:ascii="Aptos" w:cs="Aptos" w:eastAsia="Aptos" w:hAnsi="Aptos"/>
          <w:i w:val="1"/>
          <w:rtl w:val="0"/>
        </w:rPr>
        <w:t xml:space="preserve">Organizational transformation and scientific change: The impact of institutional restructuring on universities and intellectual innovation</w:t>
      </w:r>
      <w:r w:rsidDel="00000000" w:rsidR="00000000" w:rsidRPr="00000000">
        <w:rPr>
          <w:rFonts w:ascii="Aptos" w:cs="Aptos" w:eastAsia="Aptos" w:hAnsi="Aptos"/>
          <w:rtl w:val="0"/>
        </w:rPr>
        <w:t xml:space="preserve"> (pp. 57–74). Emerald Group Publishing.</w:t>
      </w:r>
      <w:hyperlink r:id="rId36">
        <w:r w:rsidDel="00000000" w:rsidR="00000000" w:rsidRPr="00000000">
          <w:rPr>
            <w:rFonts w:ascii="Aptos" w:cs="Aptos" w:eastAsia="Aptos" w:hAnsi="Aptos"/>
            <w:rtl w:val="0"/>
          </w:rPr>
          <w:t xml:space="preserve"> </w:t>
        </w:r>
      </w:hyperlink>
      <w:hyperlink r:id="rId37">
        <w:r w:rsidDel="00000000" w:rsidR="00000000" w:rsidRPr="00000000">
          <w:rPr>
            <w:rFonts w:ascii="Aptos" w:cs="Aptos" w:eastAsia="Aptos" w:hAnsi="Aptos"/>
            <w:color w:val="1155cc"/>
            <w:u w:val="single"/>
            <w:rtl w:val="0"/>
          </w:rPr>
          <w:t xml:space="preserve">https://doi.org/10.1108/S0733-558X20140000042002</w:t>
        </w:r>
      </w:hyperlink>
      <w:r w:rsidDel="00000000" w:rsidR="00000000" w:rsidRPr="00000000">
        <w:rPr>
          <w:rtl w:val="0"/>
        </w:rPr>
      </w:r>
    </w:p>
    <w:p w:rsidR="00000000" w:rsidDel="00000000" w:rsidP="00000000" w:rsidRDefault="00000000" w:rsidRPr="00000000" w14:paraId="00000046">
      <w:pPr>
        <w:spacing w:after="240" w:before="240" w:line="259" w:lineRule="auto"/>
        <w:rPr>
          <w:rFonts w:ascii="Aptos" w:cs="Aptos" w:eastAsia="Aptos" w:hAnsi="Aptos"/>
          <w:color w:val="1155cc"/>
          <w:u w:val="single"/>
        </w:rPr>
      </w:pPr>
      <w:r w:rsidDel="00000000" w:rsidR="00000000" w:rsidRPr="00000000">
        <w:rPr>
          <w:rFonts w:ascii="Aptos" w:cs="Aptos" w:eastAsia="Aptos" w:hAnsi="Aptos"/>
          <w:rtl w:val="0"/>
        </w:rPr>
        <w:t xml:space="preserve">Papanikolaou, V., Roussakis, I., &amp; Tzionas, P. (2019). Dimensions of democracy within the modern university. In </w:t>
      </w:r>
      <w:r w:rsidDel="00000000" w:rsidR="00000000" w:rsidRPr="00000000">
        <w:rPr>
          <w:rFonts w:ascii="Aptos" w:cs="Aptos" w:eastAsia="Aptos" w:hAnsi="Aptos"/>
          <w:i w:val="1"/>
          <w:rtl w:val="0"/>
        </w:rPr>
        <w:t xml:space="preserve">Proceedings of the International Conference on Innovative Research in Education</w:t>
      </w:r>
      <w:r w:rsidDel="00000000" w:rsidR="00000000" w:rsidRPr="00000000">
        <w:rPr>
          <w:rFonts w:ascii="Aptos" w:cs="Aptos" w:eastAsia="Aptos" w:hAnsi="Aptos"/>
          <w:rtl w:val="0"/>
        </w:rPr>
        <w:t xml:space="preserve">.</w:t>
      </w:r>
      <w:hyperlink r:id="rId38">
        <w:r w:rsidDel="00000000" w:rsidR="00000000" w:rsidRPr="00000000">
          <w:rPr>
            <w:rFonts w:ascii="Aptos" w:cs="Aptos" w:eastAsia="Aptos" w:hAnsi="Aptos"/>
            <w:rtl w:val="0"/>
          </w:rPr>
          <w:t xml:space="preserve"> </w:t>
        </w:r>
      </w:hyperlink>
      <w:hyperlink r:id="rId39">
        <w:r w:rsidDel="00000000" w:rsidR="00000000" w:rsidRPr="00000000">
          <w:rPr>
            <w:rFonts w:ascii="Aptos" w:cs="Aptos" w:eastAsia="Aptos" w:hAnsi="Aptos"/>
            <w:color w:val="1155cc"/>
            <w:u w:val="single"/>
            <w:rtl w:val="0"/>
          </w:rPr>
          <w:t xml:space="preserve">https://doi.org/10.33422/ireconf.2019.07.436</w:t>
        </w:r>
      </w:hyperlink>
      <w:r w:rsidDel="00000000" w:rsidR="00000000" w:rsidRPr="00000000">
        <w:rPr>
          <w:rtl w:val="0"/>
        </w:rPr>
      </w:r>
    </w:p>
    <w:p w:rsidR="00000000" w:rsidDel="00000000" w:rsidP="00000000" w:rsidRDefault="00000000" w:rsidRPr="00000000" w14:paraId="00000047">
      <w:pPr>
        <w:spacing w:after="240" w:before="240" w:line="259" w:lineRule="auto"/>
        <w:rPr>
          <w:rFonts w:ascii="Aptos" w:cs="Aptos" w:eastAsia="Aptos" w:hAnsi="Aptos"/>
        </w:rPr>
      </w:pPr>
      <w:r w:rsidDel="00000000" w:rsidR="00000000" w:rsidRPr="00000000">
        <w:rPr>
          <w:rFonts w:ascii="Aptos" w:cs="Aptos" w:eastAsia="Aptos" w:hAnsi="Aptos"/>
          <w:rtl w:val="0"/>
        </w:rPr>
        <w:t xml:space="preserve">Reason, P., &amp; Bradbury, H. (Eds.). (2007). </w:t>
      </w:r>
      <w:r w:rsidDel="00000000" w:rsidR="00000000" w:rsidRPr="00000000">
        <w:rPr>
          <w:rFonts w:ascii="Aptos" w:cs="Aptos" w:eastAsia="Aptos" w:hAnsi="Aptos"/>
          <w:i w:val="1"/>
          <w:rtl w:val="0"/>
        </w:rPr>
        <w:t xml:space="preserve">The Sage handbook of action research: Participative inquiry and practice</w:t>
      </w:r>
      <w:r w:rsidDel="00000000" w:rsidR="00000000" w:rsidRPr="00000000">
        <w:rPr>
          <w:rFonts w:ascii="Aptos" w:cs="Aptos" w:eastAsia="Aptos" w:hAnsi="Aptos"/>
          <w:rtl w:val="0"/>
        </w:rPr>
        <w:t xml:space="preserve">. Sage.</w:t>
      </w:r>
    </w:p>
    <w:p w:rsidR="00000000" w:rsidDel="00000000" w:rsidP="00000000" w:rsidRDefault="00000000" w:rsidRPr="00000000" w14:paraId="00000048">
      <w:pPr>
        <w:spacing w:after="240" w:before="240" w:line="259" w:lineRule="auto"/>
        <w:rPr>
          <w:rFonts w:ascii="Aptos" w:cs="Aptos" w:eastAsia="Aptos" w:hAnsi="Aptos"/>
          <w:color w:val="1155cc"/>
          <w:u w:val="single"/>
        </w:rPr>
      </w:pPr>
      <w:r w:rsidDel="00000000" w:rsidR="00000000" w:rsidRPr="00000000">
        <w:rPr>
          <w:rFonts w:ascii="Aptos" w:cs="Aptos" w:eastAsia="Aptos" w:hAnsi="Aptos"/>
          <w:rtl w:val="0"/>
        </w:rPr>
        <w:t xml:space="preserve">Roohi, T., Qureshi, N., &amp; Butt, I. H. (2023). A study on university students' perceptions regarding democratic classroom environment. </w:t>
      </w:r>
      <w:r w:rsidDel="00000000" w:rsidR="00000000" w:rsidRPr="00000000">
        <w:rPr>
          <w:rFonts w:ascii="Aptos" w:cs="Aptos" w:eastAsia="Aptos" w:hAnsi="Aptos"/>
          <w:i w:val="1"/>
          <w:rtl w:val="0"/>
        </w:rPr>
        <w:t xml:space="preserve">Gomal University Journal of Research</w:t>
      </w:r>
      <w:r w:rsidDel="00000000" w:rsidR="00000000" w:rsidRPr="00000000">
        <w:rPr>
          <w:rFonts w:ascii="Aptos" w:cs="Aptos" w:eastAsia="Aptos" w:hAnsi="Aptos"/>
          <w:rtl w:val="0"/>
        </w:rPr>
        <w:t xml:space="preserve">, </w:t>
      </w:r>
      <w:r w:rsidDel="00000000" w:rsidR="00000000" w:rsidRPr="00000000">
        <w:rPr>
          <w:rFonts w:ascii="Aptos" w:cs="Aptos" w:eastAsia="Aptos" w:hAnsi="Aptos"/>
          <w:i w:val="1"/>
          <w:rtl w:val="0"/>
        </w:rPr>
        <w:t xml:space="preserve">39</w:t>
      </w:r>
      <w:r w:rsidDel="00000000" w:rsidR="00000000" w:rsidRPr="00000000">
        <w:rPr>
          <w:rFonts w:ascii="Aptos" w:cs="Aptos" w:eastAsia="Aptos" w:hAnsi="Aptos"/>
          <w:rtl w:val="0"/>
        </w:rPr>
        <w:t xml:space="preserve">(2), 12–25.</w:t>
      </w:r>
      <w:hyperlink r:id="rId40">
        <w:r w:rsidDel="00000000" w:rsidR="00000000" w:rsidRPr="00000000">
          <w:rPr>
            <w:rFonts w:ascii="Aptos" w:cs="Aptos" w:eastAsia="Aptos" w:hAnsi="Aptos"/>
            <w:rtl w:val="0"/>
          </w:rPr>
          <w:t xml:space="preserve"> </w:t>
        </w:r>
      </w:hyperlink>
      <w:hyperlink r:id="rId41">
        <w:r w:rsidDel="00000000" w:rsidR="00000000" w:rsidRPr="00000000">
          <w:rPr>
            <w:rFonts w:ascii="Aptos" w:cs="Aptos" w:eastAsia="Aptos" w:hAnsi="Aptos"/>
            <w:color w:val="1155cc"/>
            <w:u w:val="single"/>
            <w:rtl w:val="0"/>
          </w:rPr>
          <w:t xml:space="preserve">https://doi.org/10.51380/gujr-38-03-06</w:t>
        </w:r>
      </w:hyperlink>
      <w:r w:rsidDel="00000000" w:rsidR="00000000" w:rsidRPr="00000000">
        <w:rPr>
          <w:rtl w:val="0"/>
        </w:rPr>
      </w:r>
    </w:p>
    <w:p w:rsidR="00000000" w:rsidDel="00000000" w:rsidP="00000000" w:rsidRDefault="00000000" w:rsidRPr="00000000" w14:paraId="00000049">
      <w:pPr>
        <w:spacing w:after="240" w:before="240" w:line="259" w:lineRule="auto"/>
        <w:rPr/>
      </w:pPr>
      <w:r w:rsidDel="00000000" w:rsidR="00000000" w:rsidRPr="00000000">
        <w:rPr>
          <w:rFonts w:ascii="Aptos" w:cs="Aptos" w:eastAsia="Aptos" w:hAnsi="Aptos"/>
          <w:rtl w:val="0"/>
        </w:rPr>
        <w:t xml:space="preserve">Urbanek, P. (2020). The evolution of institutional logic in Poland’s higher education system under reform. </w:t>
      </w:r>
      <w:r w:rsidDel="00000000" w:rsidR="00000000" w:rsidRPr="00000000">
        <w:rPr>
          <w:rFonts w:ascii="Aptos" w:cs="Aptos" w:eastAsia="Aptos" w:hAnsi="Aptos"/>
          <w:i w:val="1"/>
          <w:rtl w:val="0"/>
        </w:rPr>
        <w:t xml:space="preserve">Gospodarka Narodowa. The Polish Journal of Economics</w:t>
      </w:r>
      <w:r w:rsidDel="00000000" w:rsidR="00000000" w:rsidRPr="00000000">
        <w:rPr>
          <w:rFonts w:ascii="Aptos" w:cs="Aptos" w:eastAsia="Aptos" w:hAnsi="Aptos"/>
          <w:rtl w:val="0"/>
        </w:rPr>
        <w:t xml:space="preserve">, </w:t>
      </w:r>
      <w:r w:rsidDel="00000000" w:rsidR="00000000" w:rsidRPr="00000000">
        <w:rPr>
          <w:rFonts w:ascii="Aptos" w:cs="Aptos" w:eastAsia="Aptos" w:hAnsi="Aptos"/>
          <w:i w:val="1"/>
          <w:rtl w:val="0"/>
        </w:rPr>
        <w:t xml:space="preserve">302</w:t>
      </w:r>
      <w:r w:rsidDel="00000000" w:rsidR="00000000" w:rsidRPr="00000000">
        <w:rPr>
          <w:rFonts w:ascii="Aptos" w:cs="Aptos" w:eastAsia="Aptos" w:hAnsi="Aptos"/>
          <w:rtl w:val="0"/>
        </w:rPr>
        <w:t xml:space="preserve">(2), 95–122.</w:t>
      </w:r>
      <w:hyperlink r:id="rId42">
        <w:r w:rsidDel="00000000" w:rsidR="00000000" w:rsidRPr="00000000">
          <w:rPr>
            <w:rFonts w:ascii="Aptos" w:cs="Aptos" w:eastAsia="Aptos" w:hAnsi="Aptos"/>
            <w:rtl w:val="0"/>
          </w:rPr>
          <w:t xml:space="preserve"> </w:t>
        </w:r>
      </w:hyperlink>
      <w:hyperlink r:id="rId43">
        <w:r w:rsidDel="00000000" w:rsidR="00000000" w:rsidRPr="00000000">
          <w:rPr>
            <w:rFonts w:ascii="Aptos" w:cs="Aptos" w:eastAsia="Aptos" w:hAnsi="Aptos"/>
            <w:color w:val="1155cc"/>
            <w:u w:val="single"/>
            <w:rtl w:val="0"/>
          </w:rPr>
          <w:t xml:space="preserve">https://doi.org/10.33119/GN/120625</w:t>
        </w:r>
      </w:hyperlink>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ptos"/>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fr"/>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40" Type="http://schemas.openxmlformats.org/officeDocument/2006/relationships/hyperlink" Target="https://doi.org/10.51380/gujr-38-03-06" TargetMode="External"/><Relationship Id="rId20" Type="http://schemas.openxmlformats.org/officeDocument/2006/relationships/hyperlink" Target="https://theconversation.com/jusquou-peut-on-invoquer-la-liberte-academique-174623" TargetMode="External"/><Relationship Id="rId42" Type="http://schemas.openxmlformats.org/officeDocument/2006/relationships/hyperlink" Target="https://doi.org/10.33119/GN/120625" TargetMode="External"/><Relationship Id="rId41" Type="http://schemas.openxmlformats.org/officeDocument/2006/relationships/hyperlink" Target="https://doi.org/10.51380/gujr-38-03-06" TargetMode="External"/><Relationship Id="rId22" Type="http://schemas.openxmlformats.org/officeDocument/2006/relationships/hyperlink" Target="https://www.independent.co.uk/news/uk/university-government-oxford-union-universities-cambridge-b2349339.html" TargetMode="External"/><Relationship Id="rId21" Type="http://schemas.openxmlformats.org/officeDocument/2006/relationships/hyperlink" Target="https://theconversation.com/jusquou-peut-on-invoquer-la-liberte-academique-174623" TargetMode="External"/><Relationship Id="rId43" Type="http://schemas.openxmlformats.org/officeDocument/2006/relationships/hyperlink" Target="https://doi.org/10.33119/GN/120625" TargetMode="External"/><Relationship Id="rId24" Type="http://schemas.openxmlformats.org/officeDocument/2006/relationships/hyperlink" Target="https://doi.org/10.32870/dse.v0i14.211" TargetMode="External"/><Relationship Id="rId23" Type="http://schemas.openxmlformats.org/officeDocument/2006/relationships/hyperlink" Target="https://www.independent.co.uk/news/uk/university-government-oxford-union-universities-cambridge-b2349339.html"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oi.org/10.3280/SO2023-002006" TargetMode="External"/><Relationship Id="rId26" Type="http://schemas.openxmlformats.org/officeDocument/2006/relationships/hyperlink" Target="https://doi.org/10.4324/9781315471174-7" TargetMode="External"/><Relationship Id="rId25" Type="http://schemas.openxmlformats.org/officeDocument/2006/relationships/hyperlink" Target="https://doi.org/10.32870/dse.v0i14.211" TargetMode="External"/><Relationship Id="rId28" Type="http://schemas.openxmlformats.org/officeDocument/2006/relationships/hyperlink" Target="https://doi.org/10.1007/978-3-319-04349-4_5" TargetMode="External"/><Relationship Id="rId27" Type="http://schemas.openxmlformats.org/officeDocument/2006/relationships/hyperlink" Target="https://doi.org/10.4324/9781315471174-7" TargetMode="External"/><Relationship Id="rId5" Type="http://schemas.openxmlformats.org/officeDocument/2006/relationships/styles" Target="styles.xml"/><Relationship Id="rId6" Type="http://schemas.openxmlformats.org/officeDocument/2006/relationships/hyperlink" Target="mailto:democracyanduniversity@gmail.com" TargetMode="External"/><Relationship Id="rId29" Type="http://schemas.openxmlformats.org/officeDocument/2006/relationships/hyperlink" Target="https://doi.org/10.1007/978-3-319-04349-4_5" TargetMode="External"/><Relationship Id="rId7" Type="http://schemas.openxmlformats.org/officeDocument/2006/relationships/hyperlink" Target="mailto:democracyanduniversity@gmail.com" TargetMode="External"/><Relationship Id="rId8" Type="http://schemas.openxmlformats.org/officeDocument/2006/relationships/hyperlink" Target="https://doi.org/10.3280/SO2023-002006" TargetMode="External"/><Relationship Id="rId31" Type="http://schemas.openxmlformats.org/officeDocument/2006/relationships/hyperlink" Target="https://doi.org/10.1007/978-3-030-57292-1_7" TargetMode="External"/><Relationship Id="rId30" Type="http://schemas.openxmlformats.org/officeDocument/2006/relationships/hyperlink" Target="https://doi.org/10.1007/978-3-030-57292-1_7" TargetMode="External"/><Relationship Id="rId11" Type="http://schemas.openxmlformats.org/officeDocument/2006/relationships/hyperlink" Target="https://doi.org/10.1057/9781137009548_8" TargetMode="External"/><Relationship Id="rId33" Type="http://schemas.openxmlformats.org/officeDocument/2006/relationships/hyperlink" Target="https://doi.org/10.1016/j.sbspro.2012.11.383" TargetMode="External"/><Relationship Id="rId10" Type="http://schemas.openxmlformats.org/officeDocument/2006/relationships/hyperlink" Target="https://doi.org/10.1057/9781137009548_8" TargetMode="External"/><Relationship Id="rId32" Type="http://schemas.openxmlformats.org/officeDocument/2006/relationships/hyperlink" Target="https://doi.org/10.1016/j.sbspro.2012.11.383" TargetMode="External"/><Relationship Id="rId13" Type="http://schemas.openxmlformats.org/officeDocument/2006/relationships/hyperlink" Target="https://doi.org/10.1007/978-3-030-25041-6_2" TargetMode="External"/><Relationship Id="rId35" Type="http://schemas.openxmlformats.org/officeDocument/2006/relationships/hyperlink" Target="https://doi.org/10.1007/s43545-022-00509-2" TargetMode="External"/><Relationship Id="rId12" Type="http://schemas.openxmlformats.org/officeDocument/2006/relationships/hyperlink" Target="https://doi.org/10.1007/978-3-030-25041-6_2" TargetMode="External"/><Relationship Id="rId34" Type="http://schemas.openxmlformats.org/officeDocument/2006/relationships/hyperlink" Target="https://doi.org/10.1007/s43545-022-00509-2" TargetMode="External"/><Relationship Id="rId15" Type="http://schemas.openxmlformats.org/officeDocument/2006/relationships/hyperlink" Target="https://www.academia.edu/15367495/The_Triple_Democratic_Deficit_in_University_Governance" TargetMode="External"/><Relationship Id="rId37" Type="http://schemas.openxmlformats.org/officeDocument/2006/relationships/hyperlink" Target="https://doi.org/10.1108/S0733-558X20140000042002" TargetMode="External"/><Relationship Id="rId14" Type="http://schemas.openxmlformats.org/officeDocument/2006/relationships/hyperlink" Target="https://www.academia.edu/15367495/The_Triple_Democratic_Deficit_in_University_Governance" TargetMode="External"/><Relationship Id="rId36" Type="http://schemas.openxmlformats.org/officeDocument/2006/relationships/hyperlink" Target="https://doi.org/10.1108/S0733-558X20140000042002" TargetMode="External"/><Relationship Id="rId17" Type="http://schemas.openxmlformats.org/officeDocument/2006/relationships/hyperlink" Target="https://doi.org/10.31237/osf.io/veq5a" TargetMode="External"/><Relationship Id="rId39" Type="http://schemas.openxmlformats.org/officeDocument/2006/relationships/hyperlink" Target="https://doi.org/10.33422/ireconf.2019.07.436" TargetMode="External"/><Relationship Id="rId16" Type="http://schemas.openxmlformats.org/officeDocument/2006/relationships/hyperlink" Target="https://doi.org/10.31237/osf.io/veq5a" TargetMode="External"/><Relationship Id="rId38" Type="http://schemas.openxmlformats.org/officeDocument/2006/relationships/hyperlink" Target="https://doi.org/10.33422/ireconf.2019.07.436" TargetMode="External"/><Relationship Id="rId19" Type="http://schemas.openxmlformats.org/officeDocument/2006/relationships/hyperlink" Target="https://doi.org/10.1098/rsos.220808" TargetMode="External"/><Relationship Id="rId18" Type="http://schemas.openxmlformats.org/officeDocument/2006/relationships/hyperlink" Target="https://doi.org/10.1098/rsos.220808"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